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5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РЕКВИЗИТЫ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845"/>
        <w:jc w:val="center"/>
        <w:rPr>
          <w:b/>
        </w:rPr>
      </w:pPr>
      <w:r>
        <w:rPr>
          <w:b/>
        </w:rPr>
        <w:t xml:space="preserve">д</w:t>
      </w:r>
      <w:r>
        <w:rPr>
          <w:b/>
        </w:rPr>
        <w:t xml:space="preserve">ля перечисления платы за предоставление информации </w:t>
      </w:r>
      <w:r>
        <w:rPr>
          <w:b/>
        </w:rPr>
      </w:r>
      <w:r>
        <w:rPr>
          <w:b/>
        </w:rPr>
      </w:r>
    </w:p>
    <w:p>
      <w:pPr>
        <w:pStyle w:val="845"/>
        <w:jc w:val="center"/>
      </w:pPr>
      <w:r>
        <w:rPr>
          <w:b/>
        </w:rPr>
        <w:t xml:space="preserve">из реестра </w:t>
      </w:r>
      <w:r>
        <w:rPr>
          <w:b/>
        </w:rPr>
        <w:t xml:space="preserve">федерального имущества</w:t>
      </w:r>
      <w:r/>
    </w:p>
    <w:p>
      <w:pPr>
        <w:pStyle w:val="845"/>
        <w:jc w:val="center"/>
      </w:pPr>
      <w:r/>
      <w:r/>
    </w:p>
    <w:p>
      <w:pPr>
        <w:pStyle w:val="845"/>
        <w:jc w:val="center"/>
      </w:pPr>
      <w:r/>
      <w:r/>
    </w:p>
    <w:p>
      <w:pPr>
        <w:pStyle w:val="845"/>
        <w:ind w:left="0" w:right="0" w:firstLine="0"/>
        <w:jc w:val="both"/>
        <w:spacing w:after="12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I. При обращении (направление заявления) в МТУ Росимущества в Архангельской области и Ненецком автономном округе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85"/>
        <w:numPr>
          <w:ilvl w:val="0"/>
          <w:numId w:val="6"/>
        </w:numPr>
        <w:ind w:left="0" w:right="0" w:firstLine="850"/>
        <w:jc w:val="both"/>
        <w:spacing w:after="12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код бюджетной классификации</w:t>
      </w:r>
      <w:r>
        <w:rPr>
          <w:b w:val="0"/>
          <w:bCs w:val="0"/>
          <w:sz w:val="24"/>
          <w:szCs w:val="24"/>
        </w:rPr>
        <w:t xml:space="preserve"> (КБК)</w:t>
      </w:r>
      <w:r>
        <w:rPr>
          <w:b w:val="0"/>
          <w:bCs w:val="0"/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167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13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01991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01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6000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130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126" w:right="0" w:hanging="2126"/>
        <w:jc w:val="both"/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  <w:t xml:space="preserve">II. При </w:t>
      </w:r>
      <w:r>
        <w:rPr>
          <w:b/>
          <w:bCs/>
          <w:sz w:val="24"/>
          <w:szCs w:val="24"/>
          <w:lang w:val="ru-RU"/>
        </w:rPr>
        <w:t xml:space="preserve">обращении через многофункциональные  центры </w:t>
      </w:r>
      <w:r>
        <w:rPr>
          <w:b/>
          <w:bCs/>
          <w:sz w:val="24"/>
          <w:szCs w:val="24"/>
          <w:highlight w:val="none"/>
        </w:rPr>
        <w:t xml:space="preserve"> </w:t>
      </w:r>
      <w:r>
        <w:rPr>
          <w:b/>
          <w:bCs/>
          <w:sz w:val="24"/>
          <w:szCs w:val="24"/>
        </w:rPr>
      </w:r>
    </w:p>
    <w:p>
      <w:pPr>
        <w:pStyle w:val="845"/>
        <w:ind w:left="0" w:right="0" w:firstLine="8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 -       </w:t>
      </w:r>
      <w:r>
        <w:rPr>
          <w:b w:val="0"/>
          <w:bCs w:val="0"/>
          <w:sz w:val="24"/>
          <w:szCs w:val="24"/>
        </w:rPr>
        <w:t xml:space="preserve">код бюджетной классификации</w:t>
      </w:r>
      <w:r>
        <w:rPr>
          <w:b w:val="0"/>
          <w:bCs w:val="0"/>
          <w:sz w:val="24"/>
          <w:szCs w:val="24"/>
        </w:rPr>
        <w:t xml:space="preserve"> (КБК)</w:t>
      </w:r>
      <w:r>
        <w:rPr>
          <w:b w:val="0"/>
          <w:bCs w:val="0"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167 1 13 01991 01 8000 130.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  <w:gridCol w:w="53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Наименование подразделения Банка России // наименование и место нахождения ТОФК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jc w:val="both"/>
            </w:pPr>
            <w:r>
              <w:t xml:space="preserve">ОТДЕЛЕНИЕ АРХАНГЕЛЬСК БАНКА РОССИИ//УФК по Архангельской области и Ненецкому автономному</w:t>
            </w:r>
            <w:r>
              <w:t xml:space="preserve"> </w:t>
            </w:r>
            <w:r>
              <w:t xml:space="preserve">округу г. Архангельск</w:t>
            </w:r>
            <w:r/>
          </w:p>
          <w:p>
            <w:pPr>
              <w:pStyle w:val="845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БИК ТОФК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</w:pPr>
            <w:r>
              <w:t xml:space="preserve">011117401</w:t>
            </w:r>
            <w:r/>
          </w:p>
          <w:p>
            <w:pPr>
              <w:pStyle w:val="845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Единый казначейский счет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rPr>
                <w:bCs/>
              </w:rPr>
            </w:pPr>
            <w:r>
              <w:rPr>
                <w:bCs/>
              </w:rPr>
              <w:t xml:space="preserve">40102810045370000016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5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Казначейский счет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rPr>
                <w:bCs/>
              </w:rPr>
            </w:pPr>
            <w:r>
              <w:rPr>
                <w:color w:val="000000"/>
              </w:rPr>
              <w:t xml:space="preserve">03100643000000012400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5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Получатель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Cs/>
              </w:rPr>
            </w:pPr>
            <w:r>
              <w:t xml:space="preserve">УФК по Архангельской области и Ненецкому автономному округу (МТУ Росимущества в Архангельской области и Ненецком автономном округе)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ИНН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jc w:val="both"/>
            </w:pPr>
            <w:r>
              <w:t xml:space="preserve">2901194203</w:t>
            </w:r>
            <w:r/>
          </w:p>
          <w:p>
            <w:pPr>
              <w:pStyle w:val="845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  <w:rPr>
                <w:b/>
              </w:rPr>
            </w:pPr>
            <w:r>
              <w:rPr>
                <w:b/>
              </w:rPr>
              <w:t xml:space="preserve">КПП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jc w:val="both"/>
            </w:pPr>
            <w:r>
              <w:t xml:space="preserve">290101001</w:t>
            </w:r>
            <w:r/>
          </w:p>
          <w:p>
            <w:pPr>
              <w:pStyle w:val="845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top"/>
            <w:textDirection w:val="lrTb"/>
            <w:noWrap w:val="false"/>
          </w:tcPr>
          <w:p>
            <w:pPr>
              <w:pStyle w:val="845"/>
              <w:jc w:val="both"/>
            </w:pPr>
            <w:r>
              <w:rPr>
                <w:b/>
              </w:rPr>
              <w:t xml:space="preserve">Назначение платежа</w:t>
            </w:r>
            <w:r/>
          </w:p>
        </w:tc>
        <w:tc>
          <w:tcPr>
            <w:tcW w:w="5395" w:type="dxa"/>
            <w:vAlign w:val="top"/>
            <w:textDirection w:val="lrTb"/>
            <w:noWrap w:val="false"/>
          </w:tcPr>
          <w:p>
            <w:pPr>
              <w:pStyle w:val="845"/>
              <w:jc w:val="both"/>
            </w:pPr>
            <w:r>
              <w:t xml:space="preserve">За представление информации из реестра федерального имущества, от кого (ОАО, ЧП, ФИО)</w:t>
            </w:r>
            <w:r/>
          </w:p>
          <w:p>
            <w:pPr>
              <w:pStyle w:val="845"/>
              <w:jc w:val="both"/>
            </w:pPr>
            <w:r/>
            <w:r/>
          </w:p>
        </w:tc>
      </w:tr>
    </w:tbl>
    <w:p>
      <w:pPr>
        <w:pStyle w:val="845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Правительства РФ от 16.07.2007 N 447 (ред. от 25.12.2021) "О совершенствовании учета и контроле за использованием федерального имущества" (с изм. и доп., вступ. в силу с 29.06.2022)</w:t>
      </w:r>
      <w:r>
        <w:rPr>
          <w:sz w:val="26"/>
          <w:szCs w:val="26"/>
        </w:rPr>
        <w:t xml:space="preserve"> с 29 июня 2022 года взымается плата</w:t>
      </w:r>
      <w:r>
        <w:rPr>
          <w:sz w:val="26"/>
          <w:szCs w:val="26"/>
        </w:rPr>
        <w:t xml:space="preserve"> в размере </w:t>
      </w:r>
      <w:r>
        <w:rPr>
          <w:b/>
          <w:sz w:val="26"/>
          <w:szCs w:val="26"/>
        </w:rPr>
        <w:t xml:space="preserve">400 рублей</w:t>
      </w:r>
      <w:r>
        <w:rPr>
          <w:b/>
          <w:sz w:val="26"/>
          <w:szCs w:val="26"/>
        </w:rPr>
        <w:t xml:space="preserve">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 информацию в виде выписки из реестра </w:t>
      </w:r>
      <w:r>
        <w:rPr>
          <w:sz w:val="26"/>
          <w:szCs w:val="26"/>
          <w:u w:val="single"/>
        </w:rPr>
        <w:t xml:space="preserve">об одном объекте учета</w:t>
      </w:r>
      <w:r>
        <w:rPr>
          <w:sz w:val="26"/>
          <w:szCs w:val="26"/>
        </w:rPr>
        <w:t xml:space="preserve"> на соответствующую дату;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 информации об отсутствии в реестре сведений об имуществ</w:t>
      </w:r>
      <w:r>
        <w:rPr>
          <w:sz w:val="26"/>
          <w:szCs w:val="26"/>
        </w:rPr>
        <w:t xml:space="preserve">е, которое не учтено в реестре.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719" w:right="746" w:bottom="1134" w:left="16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212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1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42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1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5"/>
    <w:next w:val="845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5"/>
    <w:next w:val="845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5"/>
    <w:next w:val="845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5"/>
    <w:next w:val="845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5"/>
    <w:next w:val="845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5"/>
    <w:next w:val="845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5"/>
    <w:next w:val="845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5"/>
    <w:next w:val="845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5"/>
    <w:next w:val="845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5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5"/>
    <w:next w:val="845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link w:val="687"/>
    <w:uiPriority w:val="10"/>
    <w:rPr>
      <w:sz w:val="48"/>
      <w:szCs w:val="48"/>
    </w:rPr>
  </w:style>
  <w:style w:type="paragraph" w:styleId="689">
    <w:name w:val="Subtitle"/>
    <w:basedOn w:val="845"/>
    <w:next w:val="845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link w:val="689"/>
    <w:uiPriority w:val="11"/>
    <w:rPr>
      <w:sz w:val="24"/>
      <w:szCs w:val="24"/>
    </w:rPr>
  </w:style>
  <w:style w:type="paragraph" w:styleId="691">
    <w:name w:val="Quote"/>
    <w:basedOn w:val="845"/>
    <w:next w:val="845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5"/>
    <w:next w:val="845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5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link w:val="695"/>
    <w:uiPriority w:val="99"/>
  </w:style>
  <w:style w:type="paragraph" w:styleId="697">
    <w:name w:val="Footer"/>
    <w:basedOn w:val="845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link w:val="697"/>
    <w:uiPriority w:val="99"/>
  </w:style>
  <w:style w:type="paragraph" w:styleId="699">
    <w:name w:val="Caption"/>
    <w:basedOn w:val="845"/>
    <w:next w:val="845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link w:val="699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Hyperlink"/>
    <w:uiPriority w:val="99"/>
    <w:unhideWhenUsed/>
    <w:rPr>
      <w:color w:val="0000ff" w:themeColor="hyperlink"/>
      <w:u w:val="single"/>
    </w:rPr>
  </w:style>
  <w:style w:type="paragraph" w:styleId="828">
    <w:name w:val="footnote text"/>
    <w:basedOn w:val="845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next w:val="845"/>
    <w:link w:val="845"/>
    <w:qFormat/>
    <w:rPr>
      <w:sz w:val="24"/>
      <w:szCs w:val="24"/>
      <w:lang w:val="ru-RU" w:eastAsia="ru-RU" w:bidi="ar-SA"/>
    </w:rPr>
  </w:style>
  <w:style w:type="character" w:styleId="846">
    <w:name w:val="Основной шрифт абзаца"/>
    <w:next w:val="846"/>
    <w:link w:val="845"/>
    <w:semiHidden/>
  </w:style>
  <w:style w:type="table" w:styleId="847">
    <w:name w:val="Обычная таблица"/>
    <w:next w:val="847"/>
    <w:link w:val="845"/>
    <w:semiHidden/>
    <w:tblPr/>
  </w:style>
  <w:style w:type="numbering" w:styleId="848">
    <w:name w:val="Нет списка"/>
    <w:next w:val="848"/>
    <w:link w:val="845"/>
    <w:semiHidden/>
  </w:style>
  <w:style w:type="paragraph" w:styleId="849">
    <w:name w:val="Текст выноски"/>
    <w:basedOn w:val="845"/>
    <w:next w:val="849"/>
    <w:link w:val="845"/>
    <w:semiHidden/>
    <w:rPr>
      <w:rFonts w:ascii="Tahoma" w:hAnsi="Tahoma" w:cs="Tahoma"/>
      <w:sz w:val="16"/>
      <w:szCs w:val="16"/>
    </w:rPr>
  </w:style>
  <w:style w:type="table" w:styleId="850">
    <w:name w:val="Сетка таблицы"/>
    <w:basedOn w:val="847"/>
    <w:next w:val="850"/>
    <w:link w:val="845"/>
    <w:tblPr/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TU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</dc:title>
  <dc:creator>Name_5</dc:creator>
  <cp:lastModifiedBy>o.zhimbaluk</cp:lastModifiedBy>
  <cp:revision>6</cp:revision>
  <dcterms:created xsi:type="dcterms:W3CDTF">2020-12-09T09:45:00Z</dcterms:created>
  <dcterms:modified xsi:type="dcterms:W3CDTF">2026-06-29T09:06:44Z</dcterms:modified>
  <cp:version>917504</cp:version>
</cp:coreProperties>
</file>