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Межрегиональное 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ерриториальное управление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Федерального агентства по управлению государственным имуществом в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Архангельской области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 Ненецком автономном округе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(далее – продавец)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Федеральным законом от 21.12.2001 № 178-ФЗ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«О приватизации государственного и муниципального имущества»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порядке, установленном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сообщает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проведении аукциона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в электронной форме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по 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открытого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составу участников 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по форме подачи предложения о цене имущества.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699"/>
        <w:ind w:left="0" w:firstLine="0"/>
        <w:jc w:val="center"/>
        <w:spacing w:before="0" w:after="0" w:afterAutospacing="0" w:line="276" w:lineRule="auto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о проведении аукциона </w:t>
      </w:r>
      <w:r>
        <w:rPr>
          <w:rFonts w:ascii="Times New Roman" w:hAnsi="Times New Roman" w:eastAsia="Times New Roman" w:cs="Times New Roman"/>
          <w:b w:val="0"/>
          <w:color w:val="000000"/>
          <w:sz w:val="20"/>
          <w:szCs w:val="20"/>
        </w:rPr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 электронной форме по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Решени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о приватизации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имущества  утвержден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распоряжени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ем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продавца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center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от 11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.08.2026 № 230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-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</w:r>
    </w:p>
    <w:p>
      <w:pPr>
        <w:pStyle w:val="881"/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Извещение об аукционе опубликовано: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881"/>
        <w:numPr>
          <w:ilvl w:val="0"/>
          <w:numId w:val="1"/>
        </w:numPr>
        <w:spacing w:after="0" w:afterAutospacing="0" w:line="276" w:lineRule="auto"/>
        <w:rPr>
          <w:rFonts w:ascii="Times New Roman" w:hAnsi="Times New Roman" w:cs="Times New Roman"/>
          <w:b w:val="0"/>
          <w:color w:val="ff000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сайт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"https://torgi.gov.ru/new/;"</w:instrTex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://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torgi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gov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ru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new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/</w:t>
      </w:r>
      <w:r>
        <w:rPr>
          <w:rStyle w:val="857"/>
          <w:rFonts w:ascii="Times New Roman" w:hAnsi="Times New Roman" w:eastAsia="Times New Roman" w:cs="Times New Roman"/>
          <w:b w:val="0"/>
          <w:color w:val="000000" w:themeColor="text1"/>
          <w:sz w:val="20"/>
          <w:szCs w:val="20"/>
          <w:lang w:val="en-US"/>
        </w:rPr>
        <w:t xml:space="preserve">;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color w:val="ff0000"/>
          <w:sz w:val="20"/>
          <w:szCs w:val="20"/>
        </w:rPr>
      </w:r>
      <w:r>
        <w:rPr>
          <w:rFonts w:ascii="Times New Roman" w:hAnsi="Times New Roman" w:cs="Times New Roman"/>
          <w:b w:val="0"/>
          <w:color w:val="ff0000"/>
          <w:sz w:val="20"/>
          <w:szCs w:val="20"/>
        </w:rPr>
      </w:r>
    </w:p>
    <w:p>
      <w:pPr>
        <w:numPr>
          <w:ilvl w:val="0"/>
          <w:numId w:val="1"/>
        </w:numPr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электронной торговой площадке 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instrText xml:space="preserve">HYPERLINK "http://www.rts-tender.ru;"</w:instrTex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www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.rts-tender.ru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;</w:t>
      </w:r>
      <w:r>
        <w:rPr>
          <w:rStyle w:val="857"/>
          <w:rFonts w:ascii="Times New Roman" w:hAnsi="Times New Roman" w:eastAsia="Times New Roman" w:cs="Times New Roman"/>
          <w:b w:val="0"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numPr>
          <w:ilvl w:val="0"/>
          <w:numId w:val="1"/>
        </w:numPr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 сайте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en-US"/>
        </w:rPr>
        <w:t xml:space="preserve">https://fiol.rosim.gov.ru/mk/.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881"/>
        <w:ind w:left="0" w:firstLine="0"/>
        <w:jc w:val="both"/>
        <w:spacing w:after="0" w:afterAutospacing="0" w:line="276" w:lineRule="auto"/>
        <w:tabs>
          <w:tab w:val="left" w:pos="2220" w:leader="none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Лот № 1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Наименование имущества, его характеристики, описание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нежилое помещение (г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аражный бокс) площадью 19,9 кв.м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кадастровый номер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29:23:000000:5841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(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реестровый номер федерального имущества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П13310000336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).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На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иболее эффективным ис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пользованием Помещения, Гаражный бокс является использование в качестве складского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назначения (гаража).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Обременения: 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отсутствуют.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В настоящее время объект находится в оперативном управлении Федерального государственного  автономного образовательного учреждения высшего образования «Северный (Арктический) федеральный университет имени М.В. Ломоносова (ИНН 2901039102). Право оперативного управления будет прекращено до момента заключения договора купли-продажи.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Начальная цена имущест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302 131 (триста две тысячи сто тридцать один) руб. 15 коп.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без учета НДС .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afterAutospacing="0" w:line="276" w:lineRule="auto"/>
        <w:widowControl w:val="off"/>
        <w:tabs>
          <w:tab w:val="left" w:pos="1134" w:leader="none"/>
        </w:tabs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НДС будет начислен на сложившуюся в результате аукциона сумму.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Задаток (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0% от начальной цены продажи):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30 213 руб. 12 коп.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Шаг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аукциона (5% от начальной цены продажи):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15 106 руб. 55 коп.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Местонахождение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Архангельская область, г. Коряжма, ул. Лермонтова, строение 8, бокс 3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2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Информация о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предыд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ущих торгах по продаже указанного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(по актуализированной (действующей) стоимости)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, объявленных в течение года, предшествующего его продаже, и об итогах торгов по продаже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 торги по продаже указанного имущества ранее не объявлялись.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В соответствии с абз. 4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 от реализации (передачи) этого имущества с учетом налога. При этом налоговая база определяется отде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азанные лица (юридические лица) обязаны исчислить расчетным методом, удержать из выплачиваемых доходов и уплатить в бюджет соответствующую сумму налога. В этой связи в случае, когда покупателем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 является физическое лицо, налоговым агентом выступает Росимущество (его территориальный орган) и соответственно сумма уплачиваемых по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законодательством. В связи с чем, НДС будет начислена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при заключении договора купли-продажи на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сложившуюся в результате аукциона сумму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d7e3bc" w:themeColor="accent3" w:themeTint="66" w:fill="d7e3bc" w:themeFill="accent3" w:themeFillTint="66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highlight w:val="gree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green"/>
          <w:shd w:val="clear" w:color="auto" w:fill="92ff99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Место подачи заявки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на участие в аук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ционе по приобретению 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: 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cyan"/>
        </w:rPr>
        <w:t xml:space="preserve">Плата за участие в продаже имущества с участников,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cyan"/>
        </w:rPr>
        <w:t xml:space="preserve">в том числе с лица, с которым по результатам продажи имущества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cyan"/>
        </w:rPr>
        <w:t xml:space="preserve">заключается договор купли-продажи имущества, оператором электронной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0"/>
          <w:szCs w:val="20"/>
          <w:highlight w:val="cyan"/>
        </w:rPr>
        <w:t xml:space="preserve">площадки не взимается.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Претендент должен пройти регистрацию на электронной площадке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После регистрации на элект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ронной площадке направляет оператору электронной площадки заявку и прилагаемые к ней электронные документы.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подается путем заполнения ее электронной формы, размещенной в открытой части электронной площадки (приложение к настоящему Информационному сообщению), с приложением электронных документов по адресу торговой электронной площадки в сети «Интернет»: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ООО «РТС - тендер» 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и время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начала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–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«14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августа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00:00 (время московское).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окончания приема заявок на участие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электронном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аукционе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–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«08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сентября 2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23:55 (время московское).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Подача заявок осуществляется круглосуточно.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 и место определения участников аукциона: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«14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сентября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 (время московское) 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highlight w:val="yellow"/>
        </w:rPr>
      </w:r>
      <w:r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проведения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аукциона: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«15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yellow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сентября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в 11.00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(время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московское)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 </w:t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Дата, время и место подведения итогов аукциона: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«15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» сентября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года по фактическому окончанию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торгов  </w:t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val="en-US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с прилагаемыми к ним документами, поданные с нарушением установленного срока, на электронной площадке не регистрируются.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оператора электронной площадки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Перечень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документов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u w:val="single"/>
          <w:lang w:val="ru-RU"/>
        </w:rPr>
        <w:t xml:space="preserve"> представляемых участниками аукциона и требования к их оформлению: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Одно лицо имеет право подать только одну заявку. О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дновременно с Заявкой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(Приложение 1)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на участие в аукционе Претенденты представляют следующие документы в форме электронных документов либо электронных образов документов, заверенных электронной подписью: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</w:r>
      <w:r>
        <w:rPr>
          <w:rFonts w:ascii="Times New Roman" w:hAnsi="Times New Roman" w:cs="Times New Roman"/>
          <w:spacing w:val="-2"/>
          <w:sz w:val="20"/>
          <w:szCs w:val="20"/>
        </w:rPr>
      </w:r>
    </w:p>
    <w:p>
      <w:pPr>
        <w:pStyle w:val="882"/>
        <w:numPr>
          <w:ilvl w:val="0"/>
          <w:numId w:val="3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</w:t>
      </w:r>
      <w:r>
        <w:rPr>
          <w:rStyle w:val="883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в установленном порядке, или нотариально заверенная копия такой доверенности</w:t>
      </w:r>
      <w:r>
        <w:rPr>
          <w:rStyle w:val="883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 (в</w:t>
      </w:r>
      <w:r>
        <w:rPr>
          <w:rFonts w:ascii="Times New Roman" w:hAnsi="Times New Roman" w:eastAsia="Times New Roman" w:cs="Times New Roman"/>
          <w:spacing w:val="-2"/>
          <w:sz w:val="20"/>
          <w:szCs w:val="20"/>
          <w:lang w:val="ru-RU"/>
        </w:rPr>
        <w:t xml:space="preserve">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>
        <w:rPr>
          <w:rStyle w:val="883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)</w:t>
      </w:r>
      <w:r>
        <w:rPr>
          <w:rStyle w:val="883"/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Доверенность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или нотариально заверенная копия такой доверенности должны быть оформлены в установленном порядке.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82"/>
        <w:numPr>
          <w:ilvl w:val="0"/>
          <w:numId w:val="3"/>
        </w:numPr>
        <w:ind w:left="0" w:firstLine="0"/>
        <w:spacing w:after="0" w:afterAutospacing="0" w:line="276" w:lineRule="auto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индивидуальные предприниматели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предъявляют документ, удостоверяющий личность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копии всех его листов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индивидуальные предприниматели.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3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shd w:val="clear" w:color="auto" w:fill="4bf357"/>
        </w:rPr>
      </w:pP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Претенденты физические лица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 индивидуальные предприниматели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 предъявляют СОГЛАСИЕ НА ОБРАБОТКУ ПЕРСОНАЛЬНЫХ ДАННЫХ  В ВИДЕ ОТДЕЛЬНОГО ДОКУМЕНТА, СОГЛАСНО ПРИЛОЖЕНИЮ К ИНФОРМАЦИОННОМУ СООБЩЕНИЮ – в соответствии с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изменения в Федеральный закон о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т 27.07.2006 № 152-ФЗ «О персональных данных»,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внесенных Федеральным законом от 24.06.2025 № 156-ФЗ «О создании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многофункционального сервиса обмена информацией и о внесении изменений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в отдельные законодательные акты Российской Федерации»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4bf357"/>
        </w:rPr>
      </w:r>
      <w:r>
        <w:rPr>
          <w:rFonts w:ascii="Times New Roman" w:hAnsi="Times New Roman" w:cs="Times New Roman"/>
          <w:sz w:val="20"/>
          <w:szCs w:val="20"/>
          <w:shd w:val="clear" w:color="auto" w:fill="4bf357"/>
        </w:rPr>
      </w:r>
    </w:p>
    <w:p>
      <w:pPr>
        <w:pStyle w:val="884"/>
        <w:numPr>
          <w:ilvl w:val="0"/>
          <w:numId w:val="3"/>
        </w:num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Претенденты юридические лица представляют: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4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заверенные копии учредительных документов;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4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содержащий сведения о доле Российской Фе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4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документ, который подтверждает полномочия руководит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енности.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84"/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информационного сообщения.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Заявки подаются одновременно с полным комплектом документов, установленным в настоящем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Организатора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внесения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частью 6 статьи 18 Федерального закон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 от 21 декабря 2001 года № 178-ФЗ «О приватизации государственного и муниципального имущества», пункта 30 Постановления РФ от 27 августа 2012 года №860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размер задатка устанавливается в размере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- 20 процентов начальной цены, указанной в информационном сообщении о продаже государственного имущества и составляющей 100 миллионов рублей и более;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-10 процентов начальной цены, указанной в информационном сообщении о продаже государственного имущества и составляющей менее 100 миллионов рублей.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Данное информационное сообщение является публичной офертой для з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Для участия в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аукционе претендент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вносит задаток в валюте Российской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Федерации 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на счет оператора электронной площадки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«РТС-Тендер»</w:t>
      </w:r>
      <w:r>
        <w:rPr>
          <w:rFonts w:ascii="Times New Roman" w:hAnsi="Times New Roman" w:eastAsia="Times New Roman" w:cs="Times New Roman"/>
          <w:b w:val="0"/>
          <w:sz w:val="20"/>
          <w:szCs w:val="20"/>
          <w:highlight w:val="cyan"/>
          <w:shd w:val="clear" w:color="auto" w:fill="92ff99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еквизиты счетв электронной площадки «РТС-Тендер»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  <w:lang w:val="ru-RU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Получатель ООО «РТС-тендер»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Наименование банка Филиал «Корпоративный» ПАО «СОВКОМБАНК»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Расчетный счёт 40702810512030016362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Корр. счёт 30101810445250000360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БИК 044525360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ИНН 7710357167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tabs>
          <w:tab w:val="left" w:pos="298" w:leader="none"/>
        </w:tabs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КПП 773001001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cyan"/>
          <w:shd w:val="clear" w:color="auto" w:fill="92ff99"/>
          <w:lang w:val="ru-RU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  <w:r>
        <w:rPr>
          <w:rFonts w:ascii="Times New Roman" w:hAnsi="Times New Roman" w:eastAsia="Times New Roman" w:cs="Times New Roman"/>
          <w:i/>
          <w:sz w:val="20"/>
          <w:szCs w:val="20"/>
          <w:highlight w:val="cyan"/>
          <w:shd w:val="clear" w:color="auto" w:fill="92ff99"/>
        </w:rPr>
      </w:r>
      <w:r>
        <w:rPr>
          <w:rFonts w:ascii="Times New Roman" w:hAnsi="Times New Roman" w:cs="Times New Roman"/>
          <w:i/>
          <w:sz w:val="20"/>
          <w:szCs w:val="20"/>
          <w:highlight w:val="cyan"/>
          <w:shd w:val="clear" w:color="auto" w:fill="92ff99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победителя аукциона государственного имущества засчитывается в счет оплаты приобретаемого 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85"/>
        <w:ind w:left="0" w:firstLine="0"/>
        <w:jc w:val="both"/>
        <w:spacing w:after="0" w:afterAutospacing="0" w:line="276" w:lineRule="auto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Перевод задатка претендентами осуществляется до даты окончания приема заявок.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Информация о внесении претендентом денежных средств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в размере задатка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направляется оператором электронной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площадки продавцу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вместе с заявкой.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Документом, подтверждающим поступление задатка претендента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, является выписка со счета оператора электронной площадки,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указанного в информационном сообщении о проведении продажи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  <w:t xml:space="preserve">имущества.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  <w:tab w:val="left" w:pos="312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Возврат задатка производится оператором торговой площадки: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участникам, за исключением победителя, - в течение 5 дней со дня подведения итогов продажи имущества;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претендентам, не допущенным к участию в продаже имущества, -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в случае отзыва претендентом заявки не позднее дня окончания приема заявок поступивший от претендента задаток подлежит возврату в течение 5 дней со дня поступлен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ия уведомления об отзыве заявки;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 в случае отзыва претендентом заявки позднее дня окончания приема заявок задаток возвращается в течение 5 дней со дня подписания протокола о признании претендентов участниками;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ра, 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при уклонении или отказе покупателя от оплаты имущества в установленные сроки 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задаток ему не возвращается;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 случае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признания аукциона несостоявшимся, задаток возвращается участникам в течение 5 дней со дня подписания протокола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признании аукциона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879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представленные документы не подтверждают право претендента быть покупателем в соответствии с законодательством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предс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тавлены не все документы в соответствии с перечнем, указанным в информационном сообщении (за исключением предложений о цене государственного имущества на аукционе), или оформление указанных документов не соответствует законодательству Российской Федерации;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заявка подана лицом, не уполномоченным претендентом на осуществление таких действий;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5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подтверждено поступление в установленный срок задатка на счета, указанные в информационном сообщении.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Подача претендентом заявки на участие в торгах с приложением соответствующего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требованиям законодательства Российской Федерации комплекта документов и оплатой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задатка является согласием претендента с условиями, установленными настоящим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информационным сообщением.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Порядок проведения аукциона: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Проведение продажи государственного имущества в электронной форме осуществляется на электронной площадке оператором электронной площадки по адресу 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ru-RU"/>
        </w:rPr>
        <w:fldChar w:fldCharType="begin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instrText xml:space="preserve">HYPERLINK "https://www.rts-tender.ru/"</w:instrTex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separate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https://www.rts-tender.ru/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fldChar w:fldCharType="end"/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lang w:val="en-US"/>
        </w:rPr>
        <w:t xml:space="preserve">.</w:t>
      </w:r>
      <w:r>
        <w:rPr>
          <w:rStyle w:val="857"/>
          <w:rFonts w:ascii="Times New Roman" w:hAnsi="Times New Roman" w:eastAsia="Times New Roman" w:cs="Times New Roman"/>
          <w:b/>
          <w:sz w:val="20"/>
          <w:szCs w:val="20"/>
          <w:u w:val="none"/>
          <w:lang w:val="en-US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  <w:r>
        <w:rPr>
          <w:rFonts w:ascii="Times New Roman" w:hAnsi="Times New Roman" w:eastAsia="Times New Roman" w:cs="Times New Roman"/>
          <w:b/>
          <w:color w:val="0000ff" w:themeColor="hyperlink"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не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Победителем признается участник, предложивший наиболее высокую цену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случае, если заявку на участие в аукционе подало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только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одно лицо, признанное единственным участником аукциона, договор заключается с таким лицом по начальной цене продажи государственного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случае отказа лица, признанного единственным участником аукциона, от заключения договора аукцион признается несостоявшимся.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Подведение итогов аукциона оформляется протоколом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Протокол об ит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огах аукциона удостоверяет право победителя на заключение договора купли-продажи имущества,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Процедура аукциона считается завершенной со времени подписания продавцом протокола об итогах аукциона.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б) лицо</w:t>
      </w:r>
      <w:r>
        <w:rPr>
          <w:rFonts w:ascii="Times New Roman" w:hAnsi="Times New Roman" w:eastAsia="Times New Roman" w:cs="Times New Roman"/>
          <w:b w:val="0"/>
          <w:sz w:val="20"/>
          <w:szCs w:val="20"/>
          <w:lang w:val="ru-RU"/>
        </w:rPr>
        <w:t xml:space="preserve">, признанное единственным участником аукциона, отказалось от заключения договора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купли-продажи;</w:t>
      </w:r>
      <w:r>
        <w:rPr>
          <w:rFonts w:ascii="Times New Roman" w:hAnsi="Times New Roman" w:eastAsia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в) ни один из участников не сделал предложение о начальной цене имущества.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Решение о признании аукциона несостоявшимся оформляется протоколом.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Покупателями государственного имущества могут быть любые физические и юридические лица, за исключением: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</w:rPr>
      </w:r>
      <w:r>
        <w:rPr>
          <w:rFonts w:ascii="Times New Roman" w:hAnsi="Times New Roman" w:cs="Times New Roman"/>
          <w:b/>
          <w:sz w:val="20"/>
          <w:szCs w:val="20"/>
          <w:u w:val="single"/>
        </w:rPr>
      </w:r>
    </w:p>
    <w:p>
      <w:pPr>
        <w:pStyle w:val="879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государственных и муниципальных унитарных предприятий, государственных и муниципальных учреждений;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"consultantplus://offline/ref=EFB08118F5A3C6915D19F6369DBF1C0A654A711B6554C2CF20A047C2DB563EE0650132DC4F703EA88737A04DA84677B33294B5A23DK6PAK"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статьей 25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Федерального закона от 21.12.2001 №178-ФЗ "О приватизации государственного и муниципального имущества"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6"/>
        </w:num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"consultantplus://offline/ref=EFB08118F5A3C6915D19F6369DBF1C0A64417212635FC2CF20A047C2DB563EE0650132DD402164B8837EF449B74E68AC318AB6KAPBK"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государств и территорий, предоставляющи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бенефициарных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ообщении о проведении продажи имущества, запрос о разъяснении размещенной информации. 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u w:val="single"/>
          <w:lang w:val="ru-RU"/>
        </w:rPr>
        <w:t xml:space="preserve">Срок заключения договора купли-продажи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u w:val="single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Срок заключения договора купли-продажи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государственного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аключение договора купли-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продажи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(Приложение 2)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с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победителем аукциона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осуществляется не ранее чем через 10 дней и не позднее 20 дней со дня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размещения на официальном сайте в сети "Интернет" протокола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  <w:lang w:val="ru-RU"/>
        </w:rPr>
        <w:t xml:space="preserve">об итогах аукциона.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cyan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Договор купли-продажи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заключается между продавцом и победителем аукциона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либо лицом, признанным единственным участником аукциона,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форме электронного документа.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Заключение договора проводится с использованием государственной информационной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системы Федеральное имущество онлайн» путем создания соответствующего обращения в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разделе «Жизненная ситуация» через «Личный кабинет заявителя» на сайте продавца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en-US"/>
        </w:rPr>
        <w:t xml:space="preserve">(https://fiol.rosim.gov.ru/mk/).*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Вход в «Личный кабинет заявителя» осуществляется через авторизацию с помощью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«Единого портала государственных и муниципальных услуг (функций)» (ЕСИА) (далее – сайт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«Госуслуги»).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В течение дня, следующего за днем публикации протокола об итогах торгов, покупателю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необходимо сформировать обращение об указании услуги по подписанию договора купли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продажи в разделе «Жизненная ситуация» через «Личный кабинет заявителя».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Внимание! Перед направлением обращения просим проверить актуальность паспортных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данных, внесенных в соответствующие разделы на сайте «Госуслуги», поскольку они будут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использованы при создании обращения и подготовке электронной формы договора купли-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продажи.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Для подписания договора купли-продажи потребуется наличие у покупателя электронной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подписи или мобильного приложения «Госключ».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jc w:val="both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Инструкция по созданию обращения «Подписать договор по результатам торгов» для покупателей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  <w:lang w:val="ru-RU"/>
        </w:rPr>
        <w:t xml:space="preserve"> является приложением к данному информационному сообщению. </w:t>
      </w:r>
      <w:r>
        <w:rPr>
          <w:rFonts w:ascii="Times New Roman" w:hAnsi="Times New Roman" w:eastAsia="Times New Roman" w:cs="Times New Roman"/>
          <w:b/>
          <w:sz w:val="20"/>
          <w:szCs w:val="20"/>
          <w:highlight w:val="yellow"/>
          <w:shd w:val="clear" w:color="auto" w:fill="ffd821"/>
        </w:rPr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d821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не возвращается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он утрачивает право на заключение указанного договора.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Оплата приобретаемого имущества производится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течение 25 рабочих дней с даты подписания Договора купли-продажи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путем перечисления денежных средств по следующим реквизитам: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tbl>
      <w:tblPr>
        <w:tblW w:w="98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19"/>
        <w:gridCol w:w="6435"/>
      </w:tblGrid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Сокращенное наименование организации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МТУ Росимущества в Архангельской области и Ненецком автономном округе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2901194203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290101001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Единый казначейский счет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Казначейский счет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03212643000000013244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Лицевой счет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05241А21020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ОКЦ № 1</w:t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ВВГУ Банка России //УФК по Нижегородской области, г.Нижний Новогород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012202102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19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0"/>
                <w:szCs w:val="20"/>
              </w:rPr>
              <w:t xml:space="preserve">Код (поле 22)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5" w:type="dxa"/>
            <w:vAlign w:val="center"/>
            <w:textDirection w:val="lrTb"/>
            <w:noWrap w:val="false"/>
          </w:tcPr>
          <w:p>
            <w:pPr>
              <w:pStyle w:val="875"/>
              <w:ind w:left="0" w:right="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pacing w:val="0"/>
                <w:sz w:val="20"/>
                <w:szCs w:val="20"/>
              </w:rPr>
              <w:t xml:space="preserve">0011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cya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Факт оплаты имущества подтверждается выпиской со счета о поступлении средств 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  <w:lang w:val="ru-RU"/>
        </w:rPr>
        <w:t xml:space="preserve">в размере и сроки, указанные в договоре купли-продажи.</w:t>
      </w:r>
      <w:r>
        <w:rPr>
          <w:rFonts w:ascii="Times New Roman" w:hAnsi="Times New Roman" w:eastAsia="Times New Roman" w:cs="Times New Roman"/>
          <w:sz w:val="20"/>
          <w:szCs w:val="20"/>
          <w:highlight w:val="cyan"/>
        </w:rPr>
      </w:r>
      <w:r>
        <w:rPr>
          <w:rFonts w:ascii="Times New Roman" w:hAnsi="Times New Roman" w:cs="Times New Roman"/>
          <w:sz w:val="20"/>
          <w:szCs w:val="20"/>
          <w:highlight w:val="cyan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instrText xml:space="preserve">HYPERLINK "consultantplus://offline/ref=B732ABFE37CD30270E80DA69E636AF9F4067B2F88EB538C4CB9341EF1D8CCFF6BECB48338E37D147E6C498C0392192A12DDAC96D00EADE2B1AXFN"</w:instrTex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ru-RU"/>
        </w:rPr>
        <w:fldChar w:fldCharType="end"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Российской Федерации в договоре купли-продажи имущества,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 соответствии с п. 48. постановления Правительства РФ от 27.08.2012 N 860 "Об организации и проведении продажи государственного или муниципального имущества в электронной форме"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возвращается,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случае отказа или уклонения от оплаты имущества в установленные сроки Покупателем, задаток ему не возвращается.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Переход права собственности: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приобретаемое имущество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возникает у покупателя только после полной оплаты стоимости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Право собственности на приватизируемое недвижимое имущество переходит к покупателю со дня государственной регистрации перехода права собственнос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ти на такое имущество.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Условия и срок 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передачи имущества</w:t>
      </w: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передача государственного имущества и оформление права собственности на него осуществляются в соответствии с законодательством Российско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й Федерации и договором купли-продажи не позднее чем через тридцать дней после дня полной оплаты имущества.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Передача имущества покупателю осуществляется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по  подписываемому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val="ru-RU"/>
        </w:rPr>
        <w:t xml:space="preserve"> сторонами акту приема-передачи (Приложение к данному информационному сообщению) к Договору купли продажи государственного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в десятидневный срок с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момента оплаты Имущества.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u w:val="single"/>
          <w:lang w:val="ru-RU"/>
        </w:rPr>
        <w:t xml:space="preserve">Примечание: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9"/>
        <w:numPr>
          <w:ilvl w:val="0"/>
          <w:numId w:val="7"/>
        </w:numPr>
        <w:ind w:left="0" w:firstLine="0"/>
        <w:jc w:val="both"/>
        <w:spacing w:after="0" w:afterAutospacing="0" w:line="276" w:lineRule="auto"/>
        <w:widowControl w:val="off"/>
        <w:tabs>
          <w:tab w:val="left" w:pos="0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нформационное сообщение об итогах продажи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будет размещено в тех же средствах ма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ссовой информ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ации, в которых было опубликован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 сообщение 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продаже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государственного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;</w:t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spacing w:after="0" w:afterAutospacing="0" w:line="276" w:lineRule="auto"/>
        <w:rPr>
          <w:rFonts w:ascii="Times New Roman" w:hAnsi="Times New Roman" w:cs="Times New Roman"/>
          <w:sz w:val="20"/>
          <w:szCs w:val="20"/>
          <w:highlight w:val="yellow"/>
          <w:shd w:val="clear" w:color="auto" w:fill="f8d957"/>
          <w14:ligatures w14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ачал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ьная цена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аукциона устанавливается в соответствии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с Ф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едеральным законом от 29.07.1998 №135-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ФЗ «Об оценочной деятельности в Российской Федерации»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отчета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от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27.03.2026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№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Н-47334/26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об оценке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рыночной стоимости объекта недвижимого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, в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ыполненного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ООО «ЛАИР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ссылка на отчет рыночной ст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оимости приватизиру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емого ф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едерального имущ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ества: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instrText xml:space="preserve">HYPERLINK "https://fedresurs.ru/sfactmessages/e5558ef3-a7e2-44be-b641-46d9dcb42308"</w:instrTex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separate"/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t xml:space="preserve">https://fedresurs.ru/sfactmessages/e5558ef3-a7e2-44be-b641-46d9dcb42308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en-US"/>
        </w:rPr>
        <w:fldChar w:fldCharType="end"/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</w:rPr>
      </w:r>
      <w:r>
        <w:rPr>
          <w:rFonts w:ascii="Times New Roman" w:hAnsi="Times New Roman" w:eastAsia="Times New Roman" w:cs="Times New Roman"/>
          <w:sz w:val="20"/>
          <w:szCs w:val="20"/>
          <w:highlight w:val="yellow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Проект договора купли-продаж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имущества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акт приема-передачи к имущества к договору купли-продажи,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форма заявки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являются приложением к данному ин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формационному сообщению. </w:t>
      </w:r>
      <w:r>
        <w:rPr>
          <w:rFonts w:ascii="Times New Roman" w:hAnsi="Times New Roman" w:eastAsia="Times New Roman" w:cs="Times New Roman"/>
          <w:sz w:val="20"/>
          <w:szCs w:val="20"/>
          <w:u w:val="single"/>
        </w:rPr>
      </w:r>
      <w:r>
        <w:rPr>
          <w:rFonts w:ascii="Times New Roman" w:hAnsi="Times New Roman" w:cs="Times New Roman"/>
          <w:sz w:val="20"/>
          <w:szCs w:val="20"/>
          <w:u w:val="single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Ознакомиться с иной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и дополнительной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информацией возможно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по  адресу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г. Архангельск, ул. Выучейского, д. 2 (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пн-чт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17:15,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пт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09:00 – 15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:45, обед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13:00 – 13:45) или по номеру телефона 8-8182-20-17-14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  <w:highlight w:val="yellow"/>
          <w:lang w:val="ru-RU"/>
        </w:rPr>
        <w:t xml:space="preserve">8-921-477-57-67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(по предварительной записи)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Для личного ознакомления с объектом недвижимости необходимо позвонить по номеру телефону: 8-8182-20-17-12.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0" w:firstLine="0"/>
        <w:jc w:val="both"/>
        <w:spacing w:after="0" w:afterAutospacing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Врио руководителя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Межрегионального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Территориального управления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ab/>
        <w:t xml:space="preserve">Р.В. Типков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0" w:firstLine="0"/>
        <w:spacing w:after="0" w:afterAutospacing="0" w:line="276" w:lineRule="auto"/>
        <w:rPr>
          <w:rFonts w:ascii="Times New Roman" w:hAnsi="Times New Roman" w:cs="Times New Roman"/>
          <w:b w:val="0"/>
          <w:bCs w:val="0"/>
          <w:sz w:val="19"/>
          <w:szCs w:val="19"/>
        </w:rPr>
      </w:pP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/>
          <w:b w:val="0"/>
          <w:bCs w:val="0"/>
          <w:sz w:val="19"/>
          <w:szCs w:val="19"/>
        </w:rPr>
      </w:r>
    </w:p>
    <w:p>
      <w:pPr>
        <w:pStyle w:val="881"/>
        <w:ind w:left="709" w:firstLine="0"/>
        <w:spacing w:after="0" w:afterAutospacing="0" w:line="276" w:lineRule="auto"/>
        <w:rPr>
          <w:rFonts w:ascii="Times New Roman" w:hAnsi="Times New Roman" w:eastAsia="Times New Roman" w:cs="Times New Roman"/>
          <w:b w:val="0"/>
          <w:bCs/>
          <w:i/>
          <w:sz w:val="14"/>
          <w:szCs w:val="14"/>
          <w:highlight w:val="white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</w:rPr>
        <w:t xml:space="preserve">* В случае невозможности подписания договора купли-продажи государственного имущества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использованием государственной информационной</w:t>
      </w:r>
      <w:r>
        <w:rPr>
          <w:rFonts w:ascii="Times New Roman" w:hAnsi="Times New Roman" w:eastAsia="Times New Roman" w:cs="Times New Roman"/>
          <w:b w:val="0"/>
          <w:bCs/>
          <w:i/>
          <w:sz w:val="14"/>
          <w:szCs w:val="14"/>
          <w:highlight w:val="white"/>
          <w:lang w:val="ru-RU"/>
        </w:rPr>
      </w:r>
      <w:r>
        <w:rPr>
          <w:rFonts w:ascii="Times New Roman" w:hAnsi="Times New Roman" w:eastAsia="Times New Roman" w:cs="Times New Roman"/>
          <w:b w:val="0"/>
          <w:bCs/>
          <w:i/>
          <w:sz w:val="14"/>
          <w:szCs w:val="14"/>
          <w:highlight w:val="white"/>
          <w:lang w:val="ru-RU"/>
        </w:rPr>
      </w:r>
    </w:p>
    <w:p>
      <w:pPr>
        <w:pStyle w:val="881"/>
        <w:ind w:left="709" w:firstLine="0"/>
        <w:spacing w:after="0" w:afterAutospacing="0" w:line="276" w:lineRule="auto"/>
        <w:rPr>
          <w:rFonts w:ascii="Times New Roman" w:hAnsi="Times New Roman" w:eastAsia="Times New Roman" w:cs="Times New Roman"/>
          <w:b w:val="0"/>
          <w:bCs/>
          <w:i/>
          <w:sz w:val="14"/>
          <w:szCs w:val="14"/>
          <w:highlight w:val="white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системы Федеральное имущество онлайн»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до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ор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shd w:val="clear" w:color="auto" w:fill="ffd821"/>
          <w:lang w:val="ru-RU"/>
        </w:rPr>
        <w:t xml:space="preserve">купли-продажи заключается на электронной торговой площадке ООО «РТС-Тендер» </w:t>
      </w:r>
      <w:r>
        <w:rPr>
          <w:rStyle w:val="857"/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lang w:val="en-US"/>
        </w:rPr>
        <w:t xml:space="preserve">www</w:t>
      </w:r>
      <w:r>
        <w:rPr>
          <w:rStyle w:val="857"/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lang w:val="en-US"/>
        </w:rPr>
        <w:t xml:space="preserve">.rts-tender.ru</w:t>
      </w:r>
      <w:r>
        <w:rPr>
          <w:rStyle w:val="857"/>
          <w:rFonts w:ascii="Times New Roman" w:hAnsi="Times New Roman" w:eastAsia="Times New Roman" w:cs="Times New Roman"/>
          <w:b w:val="0"/>
          <w:bCs w:val="0"/>
          <w:i/>
          <w:iCs/>
          <w:sz w:val="14"/>
          <w:szCs w:val="14"/>
          <w:highlight w:val="white"/>
          <w:lang w:val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/>
          <w:i/>
          <w:sz w:val="14"/>
          <w:szCs w:val="14"/>
          <w:highlight w:val="white"/>
          <w:lang w:val="ru-RU"/>
        </w:rPr>
      </w:r>
      <w:r>
        <w:rPr>
          <w:rFonts w:ascii="Times New Roman" w:hAnsi="Times New Roman" w:eastAsia="Times New Roman" w:cs="Times New Roman"/>
          <w:b w:val="0"/>
          <w:bCs/>
          <w:i/>
          <w:sz w:val="14"/>
          <w:szCs w:val="14"/>
          <w:highlight w:val="white"/>
          <w:lang w:val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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russianLower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russianLower"/>
      <w:isLgl w:val="false"/>
      <w:suff w:val="tab"/>
      <w:lvlText w:val="%7)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)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)"/>
      <w:lvlJc w:val="right"/>
      <w:pPr>
        <w:ind w:left="6480" w:hanging="3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5"/>
    <w:next w:val="875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5"/>
    <w:next w:val="875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5"/>
    <w:next w:val="875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5"/>
    <w:next w:val="875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5"/>
    <w:next w:val="875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5"/>
    <w:next w:val="875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5"/>
    <w:next w:val="875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5"/>
    <w:next w:val="875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5"/>
    <w:next w:val="875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Title"/>
    <w:basedOn w:val="875"/>
    <w:next w:val="875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link w:val="717"/>
    <w:uiPriority w:val="10"/>
    <w:rPr>
      <w:sz w:val="48"/>
      <w:szCs w:val="48"/>
    </w:rPr>
  </w:style>
  <w:style w:type="paragraph" w:styleId="719">
    <w:name w:val="Subtitle"/>
    <w:basedOn w:val="875"/>
    <w:next w:val="875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link w:val="719"/>
    <w:uiPriority w:val="11"/>
    <w:rPr>
      <w:sz w:val="24"/>
      <w:szCs w:val="24"/>
    </w:rPr>
  </w:style>
  <w:style w:type="paragraph" w:styleId="721">
    <w:name w:val="Quote"/>
    <w:basedOn w:val="875"/>
    <w:next w:val="875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75"/>
    <w:next w:val="875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paragraph" w:styleId="725">
    <w:name w:val="Header"/>
    <w:basedOn w:val="875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Header Char"/>
    <w:link w:val="725"/>
    <w:uiPriority w:val="99"/>
  </w:style>
  <w:style w:type="paragraph" w:styleId="727">
    <w:name w:val="Footer"/>
    <w:basedOn w:val="875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Footer Char"/>
    <w:link w:val="727"/>
    <w:uiPriority w:val="99"/>
  </w:style>
  <w:style w:type="paragraph" w:styleId="729">
    <w:name w:val="Caption"/>
    <w:basedOn w:val="875"/>
    <w:next w:val="875"/>
    <w:link w:val="7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0">
    <w:name w:val="Caption Char"/>
    <w:link w:val="729"/>
    <w:uiPriority w:val="35"/>
    <w:rPr>
      <w:b/>
      <w:bCs/>
      <w:color w:val="4f81bd" w:themeColor="accent1"/>
      <w:sz w:val="18"/>
      <w:szCs w:val="18"/>
    </w:rPr>
  </w:style>
  <w:style w:type="table" w:styleId="731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4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5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9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0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31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6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000ff" w:themeColor="hyperlink"/>
      <w:u w:val="single"/>
    </w:r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65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66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67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8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9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70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71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72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table" w:styleId="8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paragraph" w:styleId="878">
    <w:name w:val="No Spacing"/>
    <w:basedOn w:val="875"/>
    <w:uiPriority w:val="1"/>
    <w:qFormat/>
    <w:pPr>
      <w:spacing w:after="0" w:line="240" w:lineRule="auto"/>
    </w:pPr>
  </w:style>
  <w:style w:type="paragraph" w:styleId="879">
    <w:name w:val="List Paragraph"/>
    <w:basedOn w:val="875"/>
    <w:uiPriority w:val="34"/>
    <w:qFormat/>
    <w:pPr>
      <w:contextualSpacing/>
      <w:ind w:left="720"/>
    </w:pPr>
  </w:style>
  <w:style w:type="character" w:styleId="880" w:default="1">
    <w:name w:val="Default Paragraph Font"/>
    <w:uiPriority w:val="1"/>
    <w:semiHidden/>
    <w:unhideWhenUsed/>
  </w:style>
  <w:style w:type="paragraph" w:styleId="881" w:customStyle="1">
    <w:name w:val="Body Text 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eastAsia="Times New Roman" w:cs="Times New Roman" w:asciiTheme="minorAsci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82" w:customStyle="1">
    <w:name w:val="Style1"/>
    <w:pPr>
      <w:contextualSpacing w:val="0"/>
      <w:ind w:left="0" w:right="0" w:firstLine="547"/>
      <w:jc w:val="both"/>
      <w:keepLines w:val="0"/>
      <w:keepNext w:val="0"/>
      <w:pageBreakBefore w:val="0"/>
      <w:spacing w:before="0" w:beforeAutospacing="0" w:after="0" w:afterAutospacing="0" w:line="274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883" w:customStyle="1">
    <w:name w:val="Font Style11"/>
    <w:rPr>
      <w:rFonts w:ascii="Times New Roman" w:hAnsi="Times New Roman"/>
      <w:b/>
      <w:sz w:val="20"/>
    </w:rPr>
  </w:style>
  <w:style w:type="paragraph" w:styleId="884" w:customStyle="1">
    <w:name w:val="Body Text Indent 2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eastAsia="Times New Roman" w:cs="Times New Roman" w:asciiTheme="minorAsci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885" w:customStyle="1">
    <w:name w:val="Body Text Indent 3"/>
    <w:rPr>
      <w:sz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y.eliseeva</cp:lastModifiedBy>
  <cp:revision>5</cp:revision>
  <dcterms:modified xsi:type="dcterms:W3CDTF">2026-08-13T14:38:12Z</dcterms:modified>
</cp:coreProperties>
</file>