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Межрегиональное 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ерриториальное управление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Федерального агентства по управлению государственным имуществом в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Архангельской области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 Ненецком автономном округе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(далее – продавец)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Федеральным законом от 21.12.2001 № 178-ФЗ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«О приватизации государственного и муниципального имущества»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порядке,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сообщает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проведении аукциона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в электронной форме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по 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открытого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составу участников 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форме подачи предложения о цене имущества.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57"/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о проведении аукциона </w:t>
      </w:r>
      <w:r>
        <w:rPr>
          <w:rFonts w:ascii="Times New Roman" w:hAnsi="Times New Roman" w:eastAsia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 электронной форме 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Решени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о приватизации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имущества  утвержден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распоряжени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ем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продавца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от 31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.07.2026 № 219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-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</w:r>
    </w:p>
    <w:p>
      <w:pPr>
        <w:pStyle w:val="1185"/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Извещение об аукционе опубликовано: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85"/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сайт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"https://torgi.gov.ru/new/;"</w:instrTex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://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torgi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gov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ru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new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62"/>
          <w:rFonts w:ascii="Times New Roman" w:hAnsi="Times New Roman" w:eastAsia="Times New Roman" w:cs="Times New Roman"/>
          <w:b w:val="0"/>
          <w:color w:val="000000" w:themeColor="text1"/>
          <w:sz w:val="20"/>
          <w:szCs w:val="20"/>
          <w:lang w:val="en-US"/>
        </w:rPr>
        <w:t xml:space="preserve">;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color w:val="ff0000"/>
          <w:sz w:val="20"/>
          <w:szCs w:val="20"/>
        </w:rPr>
      </w:r>
      <w:r>
        <w:rPr>
          <w:rFonts w:ascii="Times New Roman" w:hAnsi="Times New Roman" w:cs="Times New Roman"/>
          <w:b w:val="0"/>
          <w:color w:val="ff000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электронной торговой площадке 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"http://www.rts-tender.ru;"</w:instrTex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www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.rts-tender.ru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;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сайте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https://fiol.rosim.gov.ru/mk/.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185"/>
        <w:ind w:left="0" w:firstLine="0"/>
        <w:jc w:val="both"/>
        <w:spacing w:before="0" w:beforeAutospacing="0" w:after="0" w:afterAutospacing="0" w:line="276" w:lineRule="auto"/>
        <w:tabs>
          <w:tab w:val="left" w:pos="2220" w:leader="none"/>
        </w:tabs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Лот № 1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</w:p>
    <w:p>
      <w:pPr>
        <w:pStyle w:val="1185"/>
        <w:ind w:left="0" w:firstLine="0"/>
        <w:jc w:val="both"/>
        <w:spacing w:before="0" w:beforeAutospacing="0" w:after="0" w:afterAutospacing="0" w:line="276" w:lineRule="auto"/>
        <w:tabs>
          <w:tab w:val="left" w:pos="2220" w:leader="none"/>
        </w:tabs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Наименование имущества, его характеристики, описание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земельный участок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площадью 322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кв.м, кадастровый номер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29:01:190135:16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естровый номер федерального имущества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П11310004198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), категория земель – земли населенных пунктов, вид разрешенного использования – для размещения гаражей, с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расположенным на нем объектом недвижимости – нежилое здание (г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араж) площадью 102,5 кв.м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кадастровый номер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29:01:190135:486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(реес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тровый номер федерального имущества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П12310009107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).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Наиболее эффективное использование Объекта —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качестве объекта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производственно-складского назначения, в том числе гаражи.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spacing w:before="0" w:beforeAutospacing="0" w:after="0" w:afterAutospacing="0" w:line="276" w:lineRule="auto"/>
        <w:widowControl w:val="off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б) Обременения: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1086"/>
        <w:jc w:val="both"/>
        <w:spacing w:before="0" w:beforeAutospacing="0" w:after="0" w:afterAutospacing="0" w:line="276" w:lineRule="auto"/>
        <w:widowControl w:val="off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Сведения об огр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аничениях права на объект недвижимости кадастровый номер 29:01:190135:16, обременениях данного объекта, не зарегистрированных в реестре прав, ограничений прав и обременений недвижимого имущества согласно данным Единого государственного реестра недвижимости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tbl>
      <w:tblPr>
        <w:tblStyle w:val="1229"/>
        <w:tblW w:w="950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7"/>
        <w:gridCol w:w="1909"/>
        <w:gridCol w:w="7136"/>
      </w:tblGrid>
      <w:tr>
        <w:tblPrEx/>
        <w:trPr>
          <w:trHeight w:val="4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6"/>
                <w:szCs w:val="16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6"/>
                <w:szCs w:val="16"/>
              </w:rPr>
              <w:t xml:space="preserve">Наименование имущества /РНФИ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6"/>
                <w:szCs w:val="16"/>
              </w:rPr>
              <w:t xml:space="preserve">Вид ограничения (обременения)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</w:p>
        </w:tc>
      </w:tr>
      <w:tr>
        <w:tblPrEx/>
        <w:trPr>
          <w:trHeight w:val="36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2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6"/>
                <w:szCs w:val="16"/>
              </w:rPr>
              <w:t xml:space="preserve">Земельный участок кадастровый номер 29:01:190135:16/РНФИ П11310004198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29:01:190135:16/2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площадь: 59 кв.м.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реквизиты документа-основания: постановление Министерства природных ресурсов и лесопромышленного комплекса Архангельской области "Об утверждении границ водоохранных зон водных объектов и их прибрежных защитных полос в бассейне р.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 Вага на территории Архангельской области на участке от административной границы с Вологодской областью до устья р. Устья, в границах поселений" от 07.03.2017 No 3п выдан: Министерство природных ресурсов и лесопромышленного комплекса Архангельской области;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Содержание ограничения (обременения): В соответствии со ст.65 Водного кодекса Российской Федерации от 03.06.2006 N 74-ФЗ в границах водоохранных зон запрещаетс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судоремонтны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нодательством Российской Федерации о недрах горных отводов и (или) геологических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2395-1 "О недрах").;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Реестровый номер границы: 29:01-6.105;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зоны по документу: Водоохранная зона ручья без названия в границах г. Вельск Вельского района Архангельской области; Тип зоны: Водоохранная зона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29:01:190135:16/3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площадь: 59 кв.м.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реквизиты документа-основания: постановление Министерства природных ресурсов и лесопромышленного комплекса Архангельской области "Об утверждении границ водоохранных зон водных объектов и их прибрежных защитных полос в бассейне р.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 Вага на территории Архангельской области на участке от административной границы с Вологодской областью до устья р. Устья, в границах поселений" от 07.03.2017 No 3п выдан: Министерство природных ресурсов и лесопромышленного комплекса Архангельской области;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Содержание ограничения (обременения): В соответствии со ст.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65 Водного кодекса Российской Федерации от 03.06.2006 N 74-ФЗ в границах прибрежных защитных полос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та в соответствии со статьей 19.1 Закона Российской Федерации от 21 февраля 1992 года N 2395-1 "О недрах"); 9) распашка земель; 10) размещение отвалов размываемых грунтов; 11) выпас сельскохозяйственных животных и организация для них летних лагерей, ванн.;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Реестровый номер границы: 29:01-6.107;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зоны по документу: Прибрежная защитная полоса ручья без названия в границах г. Вельск Вельского района Архангельской области; Тип зоны: Прибрежная защитная полоса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3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29:01:190135:16/4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площадь: 59 кв.м.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реквизиты документа-основания: постановление Министерства природных ресурсов и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лесопромышленного комплекса Архангельской области "Об утверждении границ водоохранных зон водных объектов и их прибрежных защитных полос в бассейне р. Вага на территории Архангельской области на участке от административной границы с Вологодской областью до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 устья р. Устья, в границах поселений" от 07.03.2017 No 3п выдан: Министерство природных ресурсов и лесопромышленного комплекса Архангельской области; постановление Министерства природных ресурсов и лесопромышленного комплекса Архангельской области "О внес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ении изменений в постановление министерства природных ресурсов и лесопромышленного комплекса Архангельской области от 07 марта 2017 года No 3п" от 06.06.2017 No 16п выдан: Министерство природных ресурсов и лесопромышленного комплекса Архангельской области;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Содержание ограничения (обременения): В соответствии со ст.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65 Водного кодекса Российской Федерации от 03.06.2006 N 74-ФЗ в границах прибрежных защитных полос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та в соответствии со статьей 19.1 Закона Российской Федерации от 21 февраля 1992 года N 2395-1 "О недрах"); 9) распашка земель; 10) размещение отвалов размываемых грунтов; 11) выпас сельскохозяйственных животных и организация для них летних лагерей, ванн.;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Реестровый номер границы: 29:01-6.107;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зоны по документу: Прибрежная защитная полоса ручья без названия в границах г. Вельск Вельского района Архангельской области; Тип зоны: Прибрежная защитная полоса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3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29:01:190135:16/5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площадь: 59 кв.м.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реквизиты документа-основания: постановление Министерства природных ресурсов и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лесопромышленного комплекса Архангельской области "Об утверждении границ водоохранных зон водных объектов и их прибрежных защитных полос в бассейне р. Вага на территории Архангельской области на участке от административной границы с Вологодской областью до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 устья р. Устья, в границах поселений" от 07.03.2017 No 3п выдан: Министерство природных ресурсов и лесопромышленного комплекса Архангельской области; постановление Министерства природных ресурсов и лесопромышленного комплекса Архангельской области "О внес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ении изменений в постановление министерства природных ресурсов и лесопромышленного комплекса Архангельской области от 07 марта 2017 года No 3п" от 06.06.2017 No 16п выдан: Министерство природных ресурсов и лесопромышленного комплекса Архангельской области;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Содержание ограничения (обременения): В соответствии со ст.65 Водного кодекса Российской Федерации от 03.06.2006 N 74-ФЗ в границах водоохранных зон запрещает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2395-1 "О недрах").;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Реестровый номер границы: 29:01-6.105;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зоны по документу: Водоохранная зона ручья без названия в границах г. Вельск Вельского района Архангельской области; Тип зоны: Водоохранная зон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3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29:01:190135:16/6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площадь: 2 кв.м.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реквизиты документа-основания: приказ "Об определении границ зон затопления, подтопления на территории отд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ельных населенных пунктов муниципального образования Архангельской области "Вельский муниципальный район", четвертый этап. Населенные пункты дер. Плесовская, дер. Головковская, дер. Дюковская, дер. Овсянниковская" от 13.05.2025 No 38 выдан: Двинско-Печорск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ое бассейновое водное управление Федерального агентства водных ресурсов; Содержание ограничения (обременения): Согласно ч. 3 ст. 67.1 Водного кодекса Российской Федерации в границах зон затопления, подтопления запрещаются: 1) строительство объектов капитал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 ЗОУИТ установлена бессрочно.;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Реестровый номер границы: 29:01-6.2642;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зоны по документу: Зона затопления территории д. Плесовская Вельского района Архангельской области, прилегающей к р. Вага, затапливаемой при половодьях и паводках 1 % обеспеченности; Тип зоны: Зоны затопления и подтопления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left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29:01:190135:16/7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6"/>
                <w:szCs w:val="16"/>
              </w:rPr>
              <w:t xml:space="preserve">площадь: 320 кв.м.</w:t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6" w:type="dxa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реквизиты документа-основания: приказ "Об определении границ зон затопления, подтопления на территории отд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ельных населенных пунктов муниципального образования Архангельской области "Вельский муниципальный район", четвертый этап. Населенные пункты дер. Плесовская, дер. Головковская, дер. Дюковская, дер. Овсянниковская" от 13.05.2025 No 38 выдан: Двинско-Печорск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ое бассейновое водное управление Федерального агентства водных ресурсов; Содержание ограничения (обременения): Согласно ч. 3 ст. 67.1 Водного кодекса Российской Федерации в границах зон затопления, подтопления запрещаются: 1) строительство объектов капитал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 ЗОУИТ установлена бессрочно.;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Реестровый номер границы: 29:01-6.2646;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6"/>
                <w:szCs w:val="16"/>
              </w:rPr>
              <w:t xml:space="preserve">Вид зоны по документу: Зона подтопления территории д. Плесовская Вельского района Архангельской области, прилегающей к р. Вага, затапливаемой при половодьях и паводках 1 % обеспеченности; Тип зоны: Зоны затопления и подтопления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  <w:lang w:val="ru-RU"/>
        </w:rPr>
        <w:t xml:space="preserve">в)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Начальная цена имущест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820 629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(восемьсот двадцать тысяч шестьсот двадцать девять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) руб. 84 коп.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без учета НДС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194"/>
        <w:numPr>
          <w:ilvl w:val="0"/>
          <w:numId w:val="128"/>
        </w:numPr>
        <w:ind w:right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земельный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участок с кадастровым номером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29:01:190135:16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– 246 220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(двести сорок шесть тысяч двести двадцать) руб. 00 коп., НДС не облагается;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194"/>
        <w:numPr>
          <w:ilvl w:val="0"/>
          <w:numId w:val="128"/>
        </w:numPr>
        <w:ind w:right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нежилое здание (гараж)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кадастровым номером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29:01:190135:486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– 574 409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(пятьсот семьдесят четыре тысячи четыреста девять) руб. 84 коп., без учета НДС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НДС будет начислен на сложившуюся в результате аукциона сумму.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г) Задаток (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0% от начальной цены продажи):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82 062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уб. 98 коп.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д) Шаг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аукциона (5% от начальной цены продажи):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41 031 руб. 49 коп.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е) Местонахождение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Архангельская область, Вельский муниципальный район, МО "Вельское", г.Вельск, ул.Южная Слободка, д.22б, строен.2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ж) Информация 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предыд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ущих торгах по продаже указанного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(по актуализированной (действующей) стоимости)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объявленных в течение года, предшествующего его продаже, и об итогах торгов по продаже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 торги по продаже указанного имущества ранее не объявлялись.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В соответствии с абз. 4 п. 3 ст. 161 Налогового кодекса Российской Федерации при реализации (п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ередаче) на территории Российской Федерации государственного имущества, не закрепленн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азанные лица (юридические лица) обязаны исчислить расчетным методом, удержать из выплачиваемых доходов и уплатить в бюджет соответствующую сумму налога. В этой связи в случае, когда покупателем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 является физическое лицо, налоговым агентом выступает Росимущество (его территориальный орган) и соответственно сумма уплачиваемых по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законодательством. В связи с чем, НДС будет начислена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при заключении договора купли-продажи 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сложившуюся в результате аукциона сумму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r>
    </w:p>
    <w:p>
      <w:pPr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Место подачи заявки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 участие в аук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ционе по приобретению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Претендент должен пройти регистрацию на электронной площадке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После регистрации на элект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ронной площадке направляет оператору электронной площадки заявку и прилагаемые к ней электронные документы.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подается путем заполнения ее электронной формы, размещенной в открытой части электронной площадки (приложение к настоящему Информационному сообщению), с приложением электронных документов по адресу торговой электронной площадки в сети «Интернет»: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Плата за участие в продаже имущества с участников,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в том числе с лица, с которым по результатам продажи имущества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заключается договор купли-продажи имущества, оператором электронной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площадки не взимается.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и время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начала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«05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00:00 (время московское).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окончания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«31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2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23:55 (время московское).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Подача заявок осуществляется круглосуточно.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и место определения участников аукциона: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«04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сентября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 (время московское)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проведения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аукциона: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«07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сентября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(время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московское)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 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подведения итогов аукциона: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«07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сентября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по фактическому окончанию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торгов  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оператора электронной площадки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Перечень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документов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 представляемых участниками аукциона и требования к их оформлению: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Одно лицо имеет право подать только одну заявку. О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дновременно с Заявкой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(Приложение 1)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на участие в аукционе 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pStyle w:val="1153"/>
        <w:numPr>
          <w:ilvl w:val="0"/>
          <w:numId w:val="4"/>
        </w:numPr>
        <w:ind w:left="0" w:firstLine="0"/>
        <w:spacing w:before="0" w:beforeAutospacing="0"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в установленном порядке, или нотариально заверенная копия такой доверенности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(в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или нотариально заверенная копия такой доверенности должны быть оформлены в установленном порядке.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4"/>
        </w:numPr>
        <w:ind w:left="0" w:firstLine="0"/>
        <w:spacing w:before="0" w:beforeAutospacing="0"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индивидуальные предприниматели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предъявляют документ, удостоверяющий личность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копии всех его листов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4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shd w:val="clear" w:color="auto" w:fill="4bf357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 индивидуальные предприниматели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 предъявляют СОГЛАСИЕ НА ОБРАБОТКУ ПЕРСОНАЛЬНЫХ ДАННЫХ  В ВИДЕ ОТДЕЛЬНОГО ДОКУМЕНТА, СОГЛАСНО ПРИЛОЖЕНИЮ К ИНФОРМАЦИОННОМУ СООБЩЕНИЮ – в соответствии с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изменения в Федеральный закон о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т 27.07.2006 № 152-ФЗ «О персональных данных»,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внесенных Федеральным законом от 24.06.2025 № 156-ФЗ «О создании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многофункционального сервиса обмена информацией и о внесении изменений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</w:rPr>
      </w:r>
      <w:r>
        <w:rPr>
          <w:rFonts w:ascii="Times New Roman" w:hAnsi="Times New Roman" w:cs="Times New Roman"/>
          <w:sz w:val="20"/>
          <w:szCs w:val="20"/>
          <w:shd w:val="clear" w:color="auto" w:fill="4bf357"/>
        </w:rPr>
      </w:r>
    </w:p>
    <w:p>
      <w:pPr>
        <w:pStyle w:val="1227"/>
        <w:numPr>
          <w:ilvl w:val="0"/>
          <w:numId w:val="4"/>
        </w:numPr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юридические лица представляют: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5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заверенные копии учредительных документов;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5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содержащий сведения о доле Российской Фе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5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который подтверждает полномочия руководит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енности.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227"/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информационного сообщения.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подаются одновременно с полным комплектом документов, установленным в настоящем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Организатора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внесения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частью 6 статьи 18 Федерального закон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 от 21 декабря 2001 года № 178-ФЗ «О приватизации государственного и муниципального имущества», пункта 30 Постановления РФ от 27 августа 2012 года №860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размер задатка устанавливается в размере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- 20 процентов начальной цены, указанной в информационном сообщении о продаже государственного имущества и составляющей 100 миллионов рублей и более;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-10 процентов начальной цены, указанной в информационном сообщении о продаже государственного имущества и составляющей менее 100 миллионов рублей.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Данное информационное сообщение является публичной офертой для з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Для участия в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аукционе претендент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вносит задаток в валюте Российской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Федерации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на счет оператора электронной площадки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«РТС-Тендер»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еквизиты счетв электронной площадки «РТС-Тендер»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  <w:lang w:val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Получатель ООО «РТС-тендер»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Наименование банка Филиал «Корпоративный» ПАО «СОВКОМБАНК»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Расчетный счёт 40702810512030016362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Корр. счёт 30101810445250000360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БИК 044525360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ИНН 7710357167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КПП 773001001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победителя аукциона государственного имущества засчитывается в счет оплаты приобретаемого 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111"/>
        <w:ind w:lef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Перевод задатка претендентами осуществляется до даты окончания приема заявок.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Информация о внесении претендентом денежных средств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в размере задатка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направляется оператором электронной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площадки продавцу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вместе с заявкой.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Документом, подтверждающим поступление задатка претендента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, является выписка со счета оператора электронной площадки,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указанного в информационном сообщении о проведении продажи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Возврат задатка производится оператором торговой площадки: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участникам, за исключением победителя, - в течение 5 дней со дня подведения итогов продажи имущества;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претендентам, не допущенным к участию в продаже имущества, -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в случае отзыва претендентом заявки не позднее дня окончания приема заявок поступивший от претендента задаток подлежит возврату в течение 5 дней со дня поступлен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ия уведомления об отзыве заявки;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 в случае отзыва претендентом заявки позднее дня окончания приема заявок задаток возвращается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ра, 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покупателя от оплаты имущества в установленные сроки 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 случае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признания аукциона несостоявшимся, задаток возвращается участникам в течение 5 дней со дня подписания протокола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признании аукциона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тавлены не все документы в соответствии с перечнем, указанным в информационном сообщении (за исключением предложений о цене государственного имущества на аукционе), или оформление указанных документов не соответствует законодательству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подана лицом, не уполномоченным претендентом на осуществление таких действий;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подтверждено поступление в установленный срок задатка на счета, указанные в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проведения аукциона: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Проведение продажи государственного имущества в электронной форме осуществляется на электронной площадке оператором электронной площадки по адресу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  <w:r>
        <w:rPr>
          <w:rFonts w:ascii="Times New Roman" w:hAnsi="Times New Roman" w:eastAsia="Times New Roman" w:cs="Times New Roman"/>
          <w:b/>
          <w:color w:val="0000ff" w:themeColor="hyperlink"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не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Победителем признается участник, предложивший наиболее высокую цену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случае, если заявку на участие в аукционе подало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только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одно лицо, признанное единственным участником аукциона, договор заключается с таким лицом по начальной цене продажи государственного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 отказа лица, признанного единственным участником аукциона, от заключения договора аукцион признается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Подведение итогов аукциона оформляется протоколом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Протокол об 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огах аукциона удостоверяет право победителя на заключение договора купли-продажи имущества,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считается завершенной со времени подписания продавцом протокола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лицо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признанное единственным участником аукциона, отказалось от заключения договора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купли-продажи;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в) ни один из участников не сделал предложение о начальной цене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Решение о признании аукциона несостоявшимся оформляется протоколом.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Покупателями государственного имущества могут быть любые физические и юридические лица, за исключением: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93"/>
        <w:numPr>
          <w:ilvl w:val="0"/>
          <w:numId w:val="7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государственных и муниципальных унитарных предприятий, государственных и муниципальных учреждений;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7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"consultantplus://offline/ref=EFB08118F5A3C6915D19F6369DBF1C0A654A711B6554C2CF20A047C2DB563EE0650132DC4F703EA88737A04DA84677B33294B5A23DK6PAK"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статьей 25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Федерального закона от 21.12.2001 №178-ФЗ "О приватизации государственного и муниципального имущества"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7"/>
        </w:num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"consultantplus://offline/ref=EFB08118F5A3C6915D19F6369DBF1C0A64417212635FC2CF20A047C2DB563EE0650132DD402164B8837EF449B74E68AC318AB6KAPBK"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государств и территорий, предоставляющи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бенефициарных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Срок заключения договора купли-продажи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аключение договора купли-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продажи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(Приложение 2)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с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победителем аукциона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осуществляется не ранее чем через 10 дней и не позднее 20 дней со дня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размещения на официальном сайте в сети "Интернет" протокола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об итогах аукциона.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Договор купли-продажи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заключается между продавцом и победителем аукциона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форме электронного документа.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возвращается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он утрачивает право на заключение указанного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Оплата приобретаемого имущества производится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25 рабочих дней с даты подписания Договора купли-продажи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путем перечисления денежных средств по следующим реквизитам: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tbl>
      <w:tblPr>
        <w:tblW w:w="98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19"/>
        <w:gridCol w:w="6435"/>
      </w:tblGrid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Сокращенное 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МТУ Росимущества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2901194203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290101001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Единый 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03212643000000013244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Лицевой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05241А21020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ОКЦ № 1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ВВГУ Банка России //УФК по Нижегородской области, г.Нижний Новогород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Код (поле 22)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0011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 в договоре купли-продажи имущества,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п. 48. постановления Правительства РФ от 27.08.2012 N 860 "Об организации и проведении продажи государственного или муниципального имущества в электронной форме"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случае отказа или уклонения от оплаты имущества в установленные сроки Покупателем,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Переход права собственности: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приобретаемое имущество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возникает у покупателя только после полной оплаты стоимости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приватизируемое недвижимое имущество переходит к покупателю со дня государственной регистрации перехода права собственнос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ти на такое имущество.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Условия и срок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передачи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передача государственного имущества и оформление права собственности на него осуществляются в соответствии с законодательством Российско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й Федерации и договором купли-продажи не позднее чем через тридцать дней после дня полной оплаты имущества.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Передача имущества покупателю осуществляется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  подписываемому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сторонами акту приема-передачи (Приложение к данному информационному сообщению) к Договору купли продажи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десятидневный срок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момента оплаты Имущества.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Примечание: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8"/>
        </w:numPr>
        <w:ind w:left="0" w:firstLine="0"/>
        <w:jc w:val="both"/>
        <w:spacing w:before="0" w:beforeAutospacing="0"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нформаци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онное сообщение об итогах 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будет размещено в тех же средствах массовой информации, в которых было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опубликован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 сообщение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ачал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ьная цена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аукциона уст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анавливается в соответствии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с Ф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едераль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ным закон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ом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от 29.07.1998 №135-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З «Об оце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ночной деятельности в Россий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ской Федерации»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отчета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от 02.03.2026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№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Н-47104/26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об оценке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рыночной стоимости объектов недвижимого имущества, выполненного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ООО «Лаир»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ссылка на отчет рыночной стоимости приватизиру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емого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едерального имущества: 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begin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"https://fedresurs.ru/sfactmessages/db829f3f-f5fd-4bb9-a6e3-99aaef5f3218"</w:instrTex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https://fedresurs.ru/sfactmessages/db829f3f-f5fd-4bb9-a6e3-99aaef5f3218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Проект договора купли-продаж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акт приема-передачи к имущества к договору купли-продажи,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форма заявки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являются приложением к данному информационному сообщению.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Ознакомиться с иной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дополнительной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информацией возможно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  адресу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г. Архангельск, ул. Выучейского, д. 2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пн-чт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17:15,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15:45, обед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13:00 – 13:45) или по номе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 телефона 8-8182-20-17-14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8-921-477-57-67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(по предварительной записи)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Для личного ознакомления с объектом недвижимости необходимо позвонить по номеру телефону: 8-8182-20-17-12.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5"/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85"/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85"/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Руководитель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Межрегионального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5"/>
        <w:ind w:left="0" w:firstLine="0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Территориального управления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  <w:tab/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А.А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Баранов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426" w:left="1418" w:header="720" w:footer="72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XO Thames">
    <w:panose1 w:val="020206030504050203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1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7"/>
      <w:jc w:val="right"/>
      <w:tabs>
        <w:tab w:val="clear" w:pos="4677" w:leader="none"/>
        <w:tab w:val="clear" w:pos="9355" w:leader="none"/>
      </w:tabs>
      <w:rPr>
        <w:color w:val="7f7f7f" w:themeColor="text1" w:themeTint="80"/>
      </w:rPr>
    </w:pPr>
    <w:r>
      <w:rPr>
        <w:color w:val="7f7f7f" w:themeColor="text1" w:themeTint="80"/>
      </w:rPr>
    </w:r>
    <w:r>
      <w:rPr>
        <w:color w:val="7f7f7f" w:themeColor="text1" w:themeTint="80"/>
      </w:rPr>
    </w:r>
    <w:r>
      <w:rPr>
        <w:color w:val="7f7f7f" w:themeColor="text1" w:themeTint="80"/>
      </w:rPr>
    </w:r>
  </w:p>
  <w:p>
    <w:pPr>
      <w:pStyle w:val="1127"/>
      <w:jc w:val="both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31">
    <w:name w:val="Heading 1 Char"/>
    <w:basedOn w:val="1172"/>
    <w:link w:val="115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932">
    <w:name w:val="Heading 2 Char"/>
    <w:basedOn w:val="1172"/>
    <w:link w:val="1226"/>
    <w:uiPriority w:val="9"/>
    <w:rPr>
      <w:rFonts w:ascii="Liberation Sans" w:hAnsi="Liberation Sans" w:eastAsia="Liberation Sans" w:cs="Liberation Sans"/>
      <w:sz w:val="34"/>
    </w:rPr>
  </w:style>
  <w:style w:type="character" w:styleId="933">
    <w:name w:val="Heading 3 Char"/>
    <w:basedOn w:val="1172"/>
    <w:link w:val="111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934">
    <w:name w:val="Heading 4 Char"/>
    <w:basedOn w:val="1172"/>
    <w:link w:val="12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935">
    <w:name w:val="Heading 5 Char"/>
    <w:basedOn w:val="1172"/>
    <w:link w:val="115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936">
    <w:name w:val="Heading 6"/>
    <w:basedOn w:val="1086"/>
    <w:next w:val="1086"/>
    <w:link w:val="93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937">
    <w:name w:val="Heading 6 Char"/>
    <w:basedOn w:val="1172"/>
    <w:link w:val="93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938">
    <w:name w:val="Heading 7"/>
    <w:basedOn w:val="1086"/>
    <w:next w:val="1086"/>
    <w:link w:val="93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939">
    <w:name w:val="Heading 7 Char"/>
    <w:basedOn w:val="1172"/>
    <w:link w:val="93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940">
    <w:name w:val="Heading 8"/>
    <w:basedOn w:val="1086"/>
    <w:next w:val="1086"/>
    <w:link w:val="94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41">
    <w:name w:val="Heading 8 Char"/>
    <w:basedOn w:val="1172"/>
    <w:link w:val="94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42">
    <w:name w:val="Heading 9"/>
    <w:basedOn w:val="1086"/>
    <w:next w:val="1086"/>
    <w:link w:val="94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43">
    <w:name w:val="Heading 9 Char"/>
    <w:basedOn w:val="1172"/>
    <w:link w:val="94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44">
    <w:name w:val="Title Char"/>
    <w:basedOn w:val="1172"/>
    <w:link w:val="1222"/>
    <w:uiPriority w:val="10"/>
    <w:rPr>
      <w:sz w:val="48"/>
      <w:szCs w:val="48"/>
    </w:rPr>
  </w:style>
  <w:style w:type="character" w:styleId="945">
    <w:name w:val="Subtitle Char"/>
    <w:basedOn w:val="1172"/>
    <w:link w:val="1208"/>
    <w:uiPriority w:val="11"/>
    <w:rPr>
      <w:sz w:val="24"/>
      <w:szCs w:val="24"/>
    </w:rPr>
  </w:style>
  <w:style w:type="paragraph" w:styleId="946">
    <w:name w:val="Quote"/>
    <w:basedOn w:val="1086"/>
    <w:next w:val="1086"/>
    <w:link w:val="947"/>
    <w:uiPriority w:val="29"/>
    <w:qFormat/>
    <w:pPr>
      <w:ind w:left="720" w:right="720"/>
    </w:pPr>
    <w:rPr>
      <w:i/>
    </w:rPr>
  </w:style>
  <w:style w:type="character" w:styleId="947">
    <w:name w:val="Quote Char"/>
    <w:link w:val="946"/>
    <w:uiPriority w:val="29"/>
    <w:rPr>
      <w:i/>
    </w:rPr>
  </w:style>
  <w:style w:type="paragraph" w:styleId="948">
    <w:name w:val="Intense Quote"/>
    <w:basedOn w:val="1086"/>
    <w:next w:val="1086"/>
    <w:link w:val="9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9">
    <w:name w:val="Intense Quote Char"/>
    <w:link w:val="948"/>
    <w:uiPriority w:val="30"/>
    <w:rPr>
      <w:i/>
    </w:rPr>
  </w:style>
  <w:style w:type="character" w:styleId="950">
    <w:name w:val="Header Char"/>
    <w:basedOn w:val="1172"/>
    <w:link w:val="1128"/>
    <w:uiPriority w:val="99"/>
  </w:style>
  <w:style w:type="character" w:styleId="951">
    <w:name w:val="Footer Char"/>
    <w:basedOn w:val="1172"/>
    <w:link w:val="1210"/>
    <w:uiPriority w:val="99"/>
  </w:style>
  <w:style w:type="paragraph" w:styleId="952">
    <w:name w:val="Caption"/>
    <w:basedOn w:val="1086"/>
    <w:next w:val="1086"/>
    <w:link w:val="9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53">
    <w:name w:val="Caption Char"/>
    <w:basedOn w:val="1172"/>
    <w:link w:val="952"/>
    <w:uiPriority w:val="35"/>
    <w:rPr>
      <w:b/>
      <w:bCs/>
      <w:color w:val="4f81bd" w:themeColor="accent1"/>
      <w:sz w:val="18"/>
      <w:szCs w:val="18"/>
    </w:rPr>
  </w:style>
  <w:style w:type="table" w:styleId="954">
    <w:name w:val="Table Grid Light"/>
    <w:basedOn w:val="12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5">
    <w:name w:val="Plain Table 1"/>
    <w:basedOn w:val="12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56">
    <w:name w:val="Plain Table 2"/>
    <w:basedOn w:val="12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57">
    <w:name w:val="Plain Table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8">
    <w:name w:val="Plain Table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Plain Table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0">
    <w:name w:val="Grid Table 1 Light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Grid Table 1 Light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1 Light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Grid Table 1 Light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Grid Table 1 Light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Grid Table 1 Light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Grid Table 1 Light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Grid Table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2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2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2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2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2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2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3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3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Grid Table 3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3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3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3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4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82">
    <w:name w:val="Grid Table 4 - Accent 1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83">
    <w:name w:val="Grid Table 4 - Accent 2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84">
    <w:name w:val="Grid Table 4 - Accent 3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85">
    <w:name w:val="Grid Table 4 - Accent 4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86">
    <w:name w:val="Grid Table 4 - Accent 5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87">
    <w:name w:val="Grid Table 4 - Accent 6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88">
    <w:name w:val="Grid Table 5 Dark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89">
    <w:name w:val="Grid Table 5 Dark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90">
    <w:name w:val="Grid Table 5 Dark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91">
    <w:name w:val="Grid Table 5 Dark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92">
    <w:name w:val="Grid Table 5 Dark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93">
    <w:name w:val="Grid Table 5 Dark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94">
    <w:name w:val="Grid Table 5 Dark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95">
    <w:name w:val="Grid Table 6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96">
    <w:name w:val="Grid Table 6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97">
    <w:name w:val="Grid Table 6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98">
    <w:name w:val="Grid Table 6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99">
    <w:name w:val="Grid Table 6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1000">
    <w:name w:val="Grid Table 6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001">
    <w:name w:val="Grid Table 6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002">
    <w:name w:val="Grid Table 7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>
    <w:name w:val="Grid Table 7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Grid Table 7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>
    <w:name w:val="Grid Table 7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Grid Table 7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Grid Table 7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Grid Table 7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List Table 1 Light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>
    <w:name w:val="List Table 1 Light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1 Light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>
    <w:name w:val="List Table 1 Light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List Table 1 Light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List Table 1 Light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List Table 1 Light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List Table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17">
    <w:name w:val="List Table 2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18">
    <w:name w:val="List Table 2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19">
    <w:name w:val="List Table 2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20">
    <w:name w:val="List Table 2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21">
    <w:name w:val="List Table 2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22">
    <w:name w:val="List Table 2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23">
    <w:name w:val="List Table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>
    <w:name w:val="List Table 3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3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List Table 3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List Table 3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3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>
    <w:name w:val="List Table 3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>
    <w:name w:val="List Table 4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4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>
    <w:name w:val="List Table 4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4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4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4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5 Dark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8">
    <w:name w:val="List Table 5 Dark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9">
    <w:name w:val="List Table 5 Dark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0">
    <w:name w:val="List Table 5 Dark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1">
    <w:name w:val="List Table 5 Dark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2">
    <w:name w:val="List Table 5 Dark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3">
    <w:name w:val="List Table 5 Dark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4">
    <w:name w:val="List Table 6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45">
    <w:name w:val="List Table 6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46">
    <w:name w:val="List Table 6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47">
    <w:name w:val="List Table 6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48">
    <w:name w:val="List Table 6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49">
    <w:name w:val="List Table 6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50">
    <w:name w:val="List Table 6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51">
    <w:name w:val="List Table 7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52">
    <w:name w:val="List Table 7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53">
    <w:name w:val="List Table 7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54">
    <w:name w:val="List Table 7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55">
    <w:name w:val="List Table 7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56">
    <w:name w:val="List Table 7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57">
    <w:name w:val="List Table 7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58">
    <w:name w:val="Lined - Accent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59">
    <w:name w:val="Lined - Accent 1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60">
    <w:name w:val="Lined - Accent 2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61">
    <w:name w:val="Lined - Accent 3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62">
    <w:name w:val="Lined - Accent 4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63">
    <w:name w:val="Lined - Accent 5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64">
    <w:name w:val="Lined - Accent 6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65">
    <w:name w:val="Bordered &amp; Lined - Accent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6">
    <w:name w:val="Bordered &amp; Lined - Accent 1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67">
    <w:name w:val="Bordered &amp; Lined - Accent 2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68">
    <w:name w:val="Bordered &amp; Lined - Accent 3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69">
    <w:name w:val="Bordered &amp; Lined - Accent 4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70">
    <w:name w:val="Bordered &amp; Lined - Accent 5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71">
    <w:name w:val="Bordered &amp; Lined - Accent 6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72">
    <w:name w:val="Bordered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73">
    <w:name w:val="Bordered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74">
    <w:name w:val="Bordered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75">
    <w:name w:val="Bordered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76">
    <w:name w:val="Bordered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77">
    <w:name w:val="Bordered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78">
    <w:name w:val="Bordered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79">
    <w:name w:val="footnote text"/>
    <w:basedOn w:val="1086"/>
    <w:link w:val="1080"/>
    <w:uiPriority w:val="99"/>
    <w:semiHidden/>
    <w:unhideWhenUsed/>
    <w:pPr>
      <w:spacing w:after="40" w:line="240" w:lineRule="auto"/>
    </w:pPr>
    <w:rPr>
      <w:sz w:val="18"/>
    </w:rPr>
  </w:style>
  <w:style w:type="character" w:styleId="1080">
    <w:name w:val="Footnote Text Char"/>
    <w:link w:val="1079"/>
    <w:uiPriority w:val="99"/>
    <w:rPr>
      <w:sz w:val="18"/>
    </w:rPr>
  </w:style>
  <w:style w:type="paragraph" w:styleId="1081">
    <w:name w:val="endnote text"/>
    <w:basedOn w:val="1086"/>
    <w:link w:val="1082"/>
    <w:uiPriority w:val="99"/>
    <w:semiHidden/>
    <w:unhideWhenUsed/>
    <w:pPr>
      <w:spacing w:after="0" w:line="240" w:lineRule="auto"/>
    </w:pPr>
    <w:rPr>
      <w:sz w:val="20"/>
    </w:rPr>
  </w:style>
  <w:style w:type="character" w:styleId="1082">
    <w:name w:val="Endnote Text Char"/>
    <w:link w:val="1081"/>
    <w:uiPriority w:val="99"/>
    <w:rPr>
      <w:sz w:val="20"/>
    </w:rPr>
  </w:style>
  <w:style w:type="paragraph" w:styleId="1083">
    <w:name w:val="TOC Heading"/>
    <w:uiPriority w:val="39"/>
    <w:unhideWhenUsed/>
  </w:style>
  <w:style w:type="paragraph" w:styleId="1084">
    <w:name w:val="table of figures"/>
    <w:basedOn w:val="1086"/>
    <w:next w:val="1086"/>
    <w:uiPriority w:val="99"/>
    <w:unhideWhenUsed/>
    <w:pPr>
      <w:spacing w:after="0" w:afterAutospacing="0"/>
    </w:pPr>
  </w:style>
  <w:style w:type="paragraph" w:styleId="1085" w:default="1">
    <w:name w:val="Normal"/>
    <w:link w:val="1086"/>
    <w:uiPriority w:val="0"/>
    <w:qFormat/>
  </w:style>
  <w:style w:type="character" w:styleId="1086" w:default="1">
    <w:name w:val="Normal"/>
    <w:link w:val="1085"/>
  </w:style>
  <w:style w:type="paragraph" w:styleId="1087">
    <w:name w:val="Font Style11"/>
    <w:link w:val="1088"/>
    <w:rPr>
      <w:rFonts w:ascii="Times New Roman" w:hAnsi="Times New Roman"/>
      <w:b/>
      <w:sz w:val="20"/>
    </w:rPr>
  </w:style>
  <w:style w:type="character" w:styleId="1088">
    <w:name w:val="Font Style11"/>
    <w:link w:val="1087"/>
    <w:rPr>
      <w:rFonts w:ascii="Times New Roman" w:hAnsi="Times New Roman"/>
      <w:b/>
      <w:sz w:val="20"/>
    </w:rPr>
  </w:style>
  <w:style w:type="paragraph" w:styleId="1089">
    <w:name w:val="toc 2"/>
    <w:next w:val="1085"/>
    <w:link w:val="109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1090">
    <w:name w:val="toc 2"/>
    <w:link w:val="1089"/>
    <w:rPr>
      <w:rFonts w:ascii="XO Thames" w:hAnsi="XO Thames"/>
      <w:sz w:val="28"/>
    </w:rPr>
  </w:style>
  <w:style w:type="paragraph" w:styleId="1091">
    <w:name w:val="Знак Знак1 Знак Знак Знак Знак Знак Знак Знак Знак"/>
    <w:basedOn w:val="1085"/>
    <w:link w:val="1092"/>
    <w:pPr>
      <w:spacing w:line="240" w:lineRule="exact"/>
    </w:pPr>
    <w:rPr>
      <w:rFonts w:ascii="Times New Roman" w:hAnsi="Times New Roman"/>
      <w:sz w:val="24"/>
    </w:rPr>
  </w:style>
  <w:style w:type="character" w:styleId="1092">
    <w:name w:val="Знак Знак1 Знак Знак Знак Знак Знак Знак Знак Знак"/>
    <w:basedOn w:val="1086"/>
    <w:link w:val="1091"/>
    <w:rPr>
      <w:rFonts w:ascii="Times New Roman" w:hAnsi="Times New Roman"/>
      <w:sz w:val="24"/>
    </w:rPr>
  </w:style>
  <w:style w:type="paragraph" w:styleId="1093">
    <w:name w:val="toc 4"/>
    <w:next w:val="1085"/>
    <w:link w:val="1094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1094">
    <w:name w:val="toc 4"/>
    <w:link w:val="1093"/>
    <w:rPr>
      <w:rFonts w:ascii="XO Thames" w:hAnsi="XO Thames"/>
      <w:sz w:val="28"/>
    </w:rPr>
  </w:style>
  <w:style w:type="paragraph" w:styleId="1095">
    <w:name w:val="toc 6"/>
    <w:next w:val="1085"/>
    <w:link w:val="109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1096">
    <w:name w:val="toc 6"/>
    <w:link w:val="1095"/>
    <w:rPr>
      <w:rFonts w:ascii="XO Thames" w:hAnsi="XO Thames"/>
      <w:sz w:val="28"/>
    </w:rPr>
  </w:style>
  <w:style w:type="paragraph" w:styleId="1097">
    <w:name w:val="toc 7"/>
    <w:next w:val="1085"/>
    <w:link w:val="109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1098">
    <w:name w:val="toc 7"/>
    <w:link w:val="1097"/>
    <w:rPr>
      <w:rFonts w:ascii="XO Thames" w:hAnsi="XO Thames"/>
      <w:sz w:val="28"/>
    </w:rPr>
  </w:style>
  <w:style w:type="paragraph" w:styleId="1099">
    <w:name w:val="Знак Знак1 Знак Знак Знак Знак Знак Знак Знак Знак"/>
    <w:basedOn w:val="1085"/>
    <w:link w:val="1100"/>
    <w:pPr>
      <w:spacing w:line="240" w:lineRule="exact"/>
    </w:pPr>
    <w:rPr>
      <w:rFonts w:ascii="Times New Roman" w:hAnsi="Times New Roman"/>
      <w:sz w:val="24"/>
    </w:rPr>
  </w:style>
  <w:style w:type="character" w:styleId="1100">
    <w:name w:val="Знак Знак1 Знак Знак Знак Знак Знак Знак Знак Знак"/>
    <w:basedOn w:val="1086"/>
    <w:link w:val="1099"/>
    <w:rPr>
      <w:rFonts w:ascii="Times New Roman" w:hAnsi="Times New Roman"/>
      <w:sz w:val="24"/>
    </w:rPr>
  </w:style>
  <w:style w:type="paragraph" w:styleId="1101">
    <w:name w:val="footnote reference"/>
    <w:basedOn w:val="1171"/>
    <w:link w:val="1102"/>
    <w:rPr>
      <w:vertAlign w:val="superscript"/>
    </w:rPr>
  </w:style>
  <w:style w:type="character" w:styleId="1102">
    <w:name w:val="footnote reference"/>
    <w:basedOn w:val="1172"/>
    <w:link w:val="1101"/>
    <w:rPr>
      <w:vertAlign w:val="superscript"/>
    </w:rPr>
  </w:style>
  <w:style w:type="paragraph" w:styleId="1103">
    <w:name w:val="Style5"/>
    <w:basedOn w:val="1085"/>
    <w:link w:val="1104"/>
    <w:pPr>
      <w:ind w:left="0" w:firstLine="168"/>
      <w:jc w:val="both"/>
      <w:spacing w:after="0" w:line="290" w:lineRule="exact"/>
      <w:widowControl w:val="off"/>
    </w:pPr>
    <w:rPr>
      <w:rFonts w:ascii="Calibri" w:hAnsi="Calibri"/>
      <w:sz w:val="24"/>
    </w:rPr>
  </w:style>
  <w:style w:type="character" w:styleId="1104">
    <w:name w:val="Style5"/>
    <w:basedOn w:val="1086"/>
    <w:link w:val="1103"/>
    <w:rPr>
      <w:rFonts w:ascii="Calibri" w:hAnsi="Calibri"/>
      <w:sz w:val="24"/>
    </w:rPr>
  </w:style>
  <w:style w:type="paragraph" w:styleId="1105">
    <w:name w:val="Знак Знак1 Знак Знак Знак Знак Знак Знак Знак Знак"/>
    <w:basedOn w:val="1085"/>
    <w:link w:val="1106"/>
    <w:pPr>
      <w:spacing w:line="240" w:lineRule="exact"/>
    </w:pPr>
    <w:rPr>
      <w:rFonts w:ascii="Times New Roman" w:hAnsi="Times New Roman"/>
      <w:sz w:val="24"/>
    </w:rPr>
  </w:style>
  <w:style w:type="character" w:styleId="1106">
    <w:name w:val="Знак Знак1 Знак Знак Знак Знак Знак Знак Знак Знак"/>
    <w:basedOn w:val="1086"/>
    <w:link w:val="1105"/>
    <w:rPr>
      <w:rFonts w:ascii="Times New Roman" w:hAnsi="Times New Roman"/>
      <w:sz w:val="24"/>
    </w:rPr>
  </w:style>
  <w:style w:type="paragraph" w:styleId="1107">
    <w:name w:val="Endnote"/>
    <w:basedOn w:val="1085"/>
    <w:link w:val="1108"/>
    <w:pPr>
      <w:spacing w:after="0" w:line="240" w:lineRule="auto"/>
    </w:pPr>
    <w:rPr>
      <w:sz w:val="20"/>
    </w:rPr>
  </w:style>
  <w:style w:type="character" w:styleId="1108">
    <w:name w:val="Endnote"/>
    <w:basedOn w:val="1086"/>
    <w:link w:val="1107"/>
    <w:rPr>
      <w:sz w:val="20"/>
    </w:rPr>
  </w:style>
  <w:style w:type="paragraph" w:styleId="1109">
    <w:name w:val="Heading 3"/>
    <w:next w:val="1085"/>
    <w:link w:val="111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1110">
    <w:name w:val="Heading 3"/>
    <w:link w:val="1109"/>
    <w:rPr>
      <w:rFonts w:ascii="XO Thames" w:hAnsi="XO Thames"/>
      <w:b/>
      <w:sz w:val="26"/>
    </w:rPr>
  </w:style>
  <w:style w:type="paragraph" w:styleId="1111">
    <w:name w:val="Body Text Indent 3"/>
    <w:basedOn w:val="1085"/>
    <w:link w:val="1112"/>
    <w:pPr>
      <w:ind w:left="283" w:firstLine="0"/>
      <w:spacing w:after="120"/>
    </w:pPr>
    <w:rPr>
      <w:sz w:val="16"/>
    </w:rPr>
  </w:style>
  <w:style w:type="character" w:styleId="1112">
    <w:name w:val="Body Text Indent 3"/>
    <w:basedOn w:val="1086"/>
    <w:link w:val="1111"/>
    <w:rPr>
      <w:sz w:val="16"/>
    </w:rPr>
  </w:style>
  <w:style w:type="paragraph" w:styleId="1113">
    <w:name w:val="Знак Знак1 Знак Знак Знак Знак Знак Знак Знак Знак"/>
    <w:basedOn w:val="1085"/>
    <w:link w:val="1114"/>
    <w:pPr>
      <w:spacing w:line="240" w:lineRule="exact"/>
    </w:pPr>
    <w:rPr>
      <w:rFonts w:ascii="Times New Roman" w:hAnsi="Times New Roman"/>
      <w:sz w:val="24"/>
    </w:rPr>
  </w:style>
  <w:style w:type="character" w:styleId="1114">
    <w:name w:val="Знак Знак1 Знак Знак Знак Знак Знак Знак Знак Знак"/>
    <w:basedOn w:val="1086"/>
    <w:link w:val="1113"/>
    <w:rPr>
      <w:rFonts w:ascii="Times New Roman" w:hAnsi="Times New Roman"/>
      <w:sz w:val="24"/>
    </w:rPr>
  </w:style>
  <w:style w:type="paragraph" w:styleId="1115">
    <w:name w:val="Normal (Web)"/>
    <w:basedOn w:val="1085"/>
    <w:link w:val="1116"/>
    <w:pPr>
      <w:spacing w:after="0" w:line="240" w:lineRule="auto"/>
    </w:pPr>
    <w:rPr>
      <w:rFonts w:ascii="Times New Roman" w:hAnsi="Times New Roman"/>
      <w:sz w:val="24"/>
    </w:rPr>
  </w:style>
  <w:style w:type="character" w:styleId="1116">
    <w:name w:val="Normal (Web)"/>
    <w:basedOn w:val="1086"/>
    <w:link w:val="1115"/>
    <w:rPr>
      <w:rFonts w:ascii="Times New Roman" w:hAnsi="Times New Roman"/>
      <w:sz w:val="24"/>
    </w:rPr>
  </w:style>
  <w:style w:type="paragraph" w:styleId="1117">
    <w:name w:val="Знак Знак1 Знак Знак Знак Знак Знак Знак Знак Знак"/>
    <w:basedOn w:val="1085"/>
    <w:link w:val="1118"/>
    <w:pPr>
      <w:spacing w:line="240" w:lineRule="exact"/>
    </w:pPr>
    <w:rPr>
      <w:rFonts w:ascii="Times New Roman" w:hAnsi="Times New Roman"/>
      <w:sz w:val="24"/>
    </w:rPr>
  </w:style>
  <w:style w:type="character" w:styleId="1118">
    <w:name w:val="Знак Знак1 Знак Знак Знак Знак Знак Знак Знак Знак"/>
    <w:basedOn w:val="1086"/>
    <w:link w:val="1117"/>
    <w:rPr>
      <w:rFonts w:ascii="Times New Roman" w:hAnsi="Times New Roman"/>
      <w:sz w:val="24"/>
    </w:rPr>
  </w:style>
  <w:style w:type="paragraph" w:styleId="1119">
    <w:name w:val="Знак Знак1 Знак Знак Знак Знак Знак Знак Знак Знак"/>
    <w:basedOn w:val="1085"/>
    <w:link w:val="1120"/>
    <w:pPr>
      <w:spacing w:line="240" w:lineRule="exact"/>
    </w:pPr>
    <w:rPr>
      <w:rFonts w:ascii="Times New Roman" w:hAnsi="Times New Roman"/>
      <w:sz w:val="24"/>
    </w:rPr>
  </w:style>
  <w:style w:type="character" w:styleId="1120">
    <w:name w:val="Знак Знак1 Знак Знак Знак Знак Знак Знак Знак Знак"/>
    <w:basedOn w:val="1086"/>
    <w:link w:val="1119"/>
    <w:rPr>
      <w:rFonts w:ascii="Times New Roman" w:hAnsi="Times New Roman"/>
      <w:sz w:val="24"/>
    </w:rPr>
  </w:style>
  <w:style w:type="paragraph" w:styleId="1121">
    <w:name w:val="No Spacing"/>
    <w:link w:val="1122"/>
    <w:pPr>
      <w:spacing w:after="0" w:line="240" w:lineRule="auto"/>
    </w:pPr>
    <w:rPr>
      <w:rFonts w:ascii="Calibri" w:hAnsi="Calibri"/>
    </w:rPr>
  </w:style>
  <w:style w:type="character" w:styleId="1122">
    <w:name w:val="No Spacing"/>
    <w:link w:val="1121"/>
    <w:rPr>
      <w:rFonts w:ascii="Calibri" w:hAnsi="Calibri"/>
    </w:rPr>
  </w:style>
  <w:style w:type="paragraph" w:styleId="1123">
    <w:name w:val="Знак Знак1 Знак Знак Знак Знак Знак Знак Знак Знак"/>
    <w:basedOn w:val="1085"/>
    <w:link w:val="1124"/>
    <w:pPr>
      <w:spacing w:line="240" w:lineRule="exact"/>
    </w:pPr>
    <w:rPr>
      <w:rFonts w:ascii="Times New Roman" w:hAnsi="Times New Roman"/>
      <w:sz w:val="24"/>
    </w:rPr>
  </w:style>
  <w:style w:type="character" w:styleId="1124">
    <w:name w:val="Знак Знак1 Знак Знак Знак Знак Знак Знак Знак Знак"/>
    <w:basedOn w:val="1086"/>
    <w:link w:val="1123"/>
    <w:rPr>
      <w:rFonts w:ascii="Times New Roman" w:hAnsi="Times New Roman"/>
      <w:sz w:val="24"/>
    </w:rPr>
  </w:style>
  <w:style w:type="paragraph" w:styleId="1125">
    <w:name w:val="Знак Знак1 Знак Знак Знак Знак Знак Знак Знак Знак"/>
    <w:basedOn w:val="1085"/>
    <w:link w:val="1126"/>
    <w:pPr>
      <w:spacing w:line="240" w:lineRule="exact"/>
    </w:pPr>
    <w:rPr>
      <w:rFonts w:ascii="Times New Roman" w:hAnsi="Times New Roman"/>
      <w:sz w:val="24"/>
    </w:rPr>
  </w:style>
  <w:style w:type="character" w:styleId="1126">
    <w:name w:val="Знак Знак1 Знак Знак Знак Знак Знак Знак Знак Знак"/>
    <w:basedOn w:val="1086"/>
    <w:link w:val="1125"/>
    <w:rPr>
      <w:rFonts w:ascii="Times New Roman" w:hAnsi="Times New Roman"/>
      <w:sz w:val="24"/>
    </w:rPr>
  </w:style>
  <w:style w:type="paragraph" w:styleId="1127">
    <w:name w:val="Header"/>
    <w:basedOn w:val="1085"/>
    <w:link w:val="112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28">
    <w:name w:val="Header"/>
    <w:basedOn w:val="1086"/>
    <w:link w:val="1127"/>
  </w:style>
  <w:style w:type="paragraph" w:styleId="1129">
    <w:name w:val="Знак Знак1 Знак Знак Знак Знак Знак Знак Знак Знак"/>
    <w:basedOn w:val="1085"/>
    <w:link w:val="1130"/>
    <w:pPr>
      <w:spacing w:line="240" w:lineRule="exact"/>
    </w:pPr>
    <w:rPr>
      <w:rFonts w:ascii="Times New Roman" w:hAnsi="Times New Roman"/>
      <w:sz w:val="24"/>
    </w:rPr>
  </w:style>
  <w:style w:type="character" w:styleId="1130">
    <w:name w:val="Знак Знак1 Знак Знак Знак Знак Знак Знак Знак Знак"/>
    <w:basedOn w:val="1086"/>
    <w:link w:val="1129"/>
    <w:rPr>
      <w:rFonts w:ascii="Times New Roman" w:hAnsi="Times New Roman"/>
      <w:sz w:val="24"/>
    </w:rPr>
  </w:style>
  <w:style w:type="paragraph" w:styleId="1131">
    <w:name w:val="Знак Знак1 Знак Знак Знак Знак Знак Знак Знак Знак"/>
    <w:basedOn w:val="1085"/>
    <w:link w:val="1132"/>
    <w:pPr>
      <w:spacing w:line="240" w:lineRule="exact"/>
    </w:pPr>
    <w:rPr>
      <w:rFonts w:ascii="Times New Roman" w:hAnsi="Times New Roman"/>
      <w:sz w:val="24"/>
    </w:rPr>
  </w:style>
  <w:style w:type="character" w:styleId="1132">
    <w:name w:val="Знак Знак1 Знак Знак Знак Знак Знак Знак Знак Знак"/>
    <w:basedOn w:val="1086"/>
    <w:link w:val="1131"/>
    <w:rPr>
      <w:rFonts w:ascii="Times New Roman" w:hAnsi="Times New Roman"/>
      <w:sz w:val="24"/>
    </w:rPr>
  </w:style>
  <w:style w:type="paragraph" w:styleId="1133">
    <w:name w:val="Знак Знак1 Знак Знак Знак Знак Знак Знак Знак Знак"/>
    <w:basedOn w:val="1085"/>
    <w:link w:val="1134"/>
    <w:pPr>
      <w:spacing w:line="240" w:lineRule="exact"/>
    </w:pPr>
    <w:rPr>
      <w:rFonts w:ascii="Times New Roman" w:hAnsi="Times New Roman"/>
      <w:sz w:val="24"/>
    </w:rPr>
  </w:style>
  <w:style w:type="character" w:styleId="1134">
    <w:name w:val="Знак Знак1 Знак Знак Знак Знак Знак Знак Знак Знак"/>
    <w:basedOn w:val="1086"/>
    <w:link w:val="1133"/>
    <w:rPr>
      <w:rFonts w:ascii="Times New Roman" w:hAnsi="Times New Roman"/>
      <w:sz w:val="24"/>
    </w:rPr>
  </w:style>
  <w:style w:type="paragraph" w:styleId="1135">
    <w:name w:val="ConsPlusNormal"/>
    <w:link w:val="1136"/>
    <w:pPr>
      <w:spacing w:after="0" w:line="240" w:lineRule="auto"/>
    </w:pPr>
    <w:rPr>
      <w:rFonts w:ascii="Arial" w:hAnsi="Arial"/>
      <w:sz w:val="20"/>
    </w:rPr>
  </w:style>
  <w:style w:type="character" w:styleId="1136">
    <w:name w:val="ConsPlusNormal"/>
    <w:link w:val="1135"/>
    <w:rPr>
      <w:rFonts w:ascii="Arial" w:hAnsi="Arial"/>
      <w:sz w:val="20"/>
    </w:rPr>
  </w:style>
  <w:style w:type="paragraph" w:styleId="1137">
    <w:name w:val="Знак Знак1 Знак Знак Знак Знак Знак Знак Знак Знак"/>
    <w:basedOn w:val="1085"/>
    <w:link w:val="1138"/>
    <w:pPr>
      <w:spacing w:line="240" w:lineRule="exact"/>
    </w:pPr>
    <w:rPr>
      <w:rFonts w:ascii="Times New Roman" w:hAnsi="Times New Roman"/>
      <w:sz w:val="24"/>
    </w:rPr>
  </w:style>
  <w:style w:type="character" w:styleId="1138">
    <w:name w:val="Знак Знак1 Знак Знак Знак Знак Знак Знак Знак Знак"/>
    <w:basedOn w:val="1086"/>
    <w:link w:val="1137"/>
    <w:rPr>
      <w:rFonts w:ascii="Times New Roman" w:hAnsi="Times New Roman"/>
      <w:sz w:val="24"/>
    </w:rPr>
  </w:style>
  <w:style w:type="paragraph" w:styleId="1139">
    <w:name w:val="Основной текст + Интервал 0 pt"/>
    <w:basedOn w:val="1199"/>
    <w:link w:val="1140"/>
    <w:rPr>
      <w:rFonts w:ascii="Times New Roman" w:hAnsi="Times New Roman"/>
      <w:color w:val="000000"/>
      <w:spacing w:val="4"/>
      <w:sz w:val="25"/>
      <w:highlight w:val="white"/>
    </w:rPr>
  </w:style>
  <w:style w:type="character" w:styleId="1140">
    <w:name w:val="Основной текст + Интервал 0 pt"/>
    <w:basedOn w:val="1200"/>
    <w:link w:val="1139"/>
    <w:rPr>
      <w:rFonts w:ascii="Times New Roman" w:hAnsi="Times New Roman"/>
      <w:color w:val="000000"/>
      <w:spacing w:val="4"/>
      <w:sz w:val="25"/>
      <w:highlight w:val="white"/>
    </w:rPr>
  </w:style>
  <w:style w:type="paragraph" w:styleId="1141">
    <w:name w:val="toc 3"/>
    <w:next w:val="1085"/>
    <w:link w:val="114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1142">
    <w:name w:val="toc 3"/>
    <w:link w:val="1141"/>
    <w:rPr>
      <w:rFonts w:ascii="XO Thames" w:hAnsi="XO Thames"/>
      <w:sz w:val="28"/>
    </w:rPr>
  </w:style>
  <w:style w:type="paragraph" w:styleId="1143">
    <w:name w:val="Знак Знак1 Знак Знак Знак Знак Знак Знак Знак Знак"/>
    <w:basedOn w:val="1085"/>
    <w:link w:val="1144"/>
    <w:pPr>
      <w:spacing w:line="240" w:lineRule="exact"/>
    </w:pPr>
    <w:rPr>
      <w:rFonts w:ascii="Times New Roman" w:hAnsi="Times New Roman"/>
      <w:sz w:val="24"/>
    </w:rPr>
  </w:style>
  <w:style w:type="character" w:styleId="1144">
    <w:name w:val="Знак Знак1 Знак Знак Знак Знак Знак Знак Знак Знак"/>
    <w:basedOn w:val="1086"/>
    <w:link w:val="1143"/>
    <w:rPr>
      <w:rFonts w:ascii="Times New Roman" w:hAnsi="Times New Roman"/>
      <w:sz w:val="24"/>
    </w:rPr>
  </w:style>
  <w:style w:type="paragraph" w:styleId="1145">
    <w:name w:val="Знак Знак1 Знак Знак Знак Знак Знак Знак Знак Знак"/>
    <w:basedOn w:val="1085"/>
    <w:link w:val="1146"/>
    <w:pPr>
      <w:spacing w:line="240" w:lineRule="exact"/>
    </w:pPr>
    <w:rPr>
      <w:rFonts w:ascii="Times New Roman" w:hAnsi="Times New Roman"/>
      <w:sz w:val="24"/>
    </w:rPr>
  </w:style>
  <w:style w:type="character" w:styleId="1146">
    <w:name w:val="Знак Знак1 Знак Знак Знак Знак Знак Знак Знак Знак"/>
    <w:basedOn w:val="1086"/>
    <w:link w:val="1145"/>
    <w:rPr>
      <w:rFonts w:ascii="Times New Roman" w:hAnsi="Times New Roman"/>
      <w:sz w:val="24"/>
    </w:rPr>
  </w:style>
  <w:style w:type="paragraph" w:styleId="1147">
    <w:name w:val="Знак Знак1 Знак Знак Знак Знак Знак Знак Знак Знак"/>
    <w:basedOn w:val="1085"/>
    <w:link w:val="1148"/>
    <w:pPr>
      <w:spacing w:line="240" w:lineRule="exact"/>
    </w:pPr>
    <w:rPr>
      <w:rFonts w:ascii="Times New Roman" w:hAnsi="Times New Roman"/>
      <w:sz w:val="24"/>
    </w:rPr>
  </w:style>
  <w:style w:type="character" w:styleId="1148">
    <w:name w:val="Знак Знак1 Знак Знак Знак Знак Знак Знак Знак Знак"/>
    <w:basedOn w:val="1086"/>
    <w:link w:val="1147"/>
    <w:rPr>
      <w:rFonts w:ascii="Times New Roman" w:hAnsi="Times New Roman"/>
      <w:sz w:val="24"/>
    </w:rPr>
  </w:style>
  <w:style w:type="paragraph" w:styleId="1149">
    <w:name w:val="extended-text__full"/>
    <w:basedOn w:val="1171"/>
    <w:link w:val="1150"/>
  </w:style>
  <w:style w:type="character" w:styleId="1150">
    <w:name w:val="extended-text__full"/>
    <w:basedOn w:val="1172"/>
    <w:link w:val="1149"/>
  </w:style>
  <w:style w:type="paragraph" w:styleId="1151">
    <w:name w:val="Heading 5"/>
    <w:next w:val="1085"/>
    <w:link w:val="115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1152">
    <w:name w:val="Heading 5"/>
    <w:link w:val="1151"/>
    <w:rPr>
      <w:rFonts w:ascii="XO Thames" w:hAnsi="XO Thames"/>
      <w:b/>
      <w:sz w:val="22"/>
    </w:rPr>
  </w:style>
  <w:style w:type="paragraph" w:styleId="1153">
    <w:name w:val="Style1"/>
    <w:basedOn w:val="1085"/>
    <w:link w:val="1154"/>
    <w:pPr>
      <w:ind w:left="0" w:firstLine="547"/>
      <w:jc w:val="both"/>
      <w:spacing w:after="0" w:line="274" w:lineRule="exact"/>
      <w:widowControl w:val="off"/>
    </w:pPr>
    <w:rPr>
      <w:rFonts w:ascii="Calibri" w:hAnsi="Calibri"/>
      <w:sz w:val="24"/>
    </w:rPr>
  </w:style>
  <w:style w:type="character" w:styleId="1154">
    <w:name w:val="Style1"/>
    <w:basedOn w:val="1086"/>
    <w:link w:val="1153"/>
    <w:rPr>
      <w:rFonts w:ascii="Calibri" w:hAnsi="Calibri"/>
      <w:sz w:val="24"/>
    </w:rPr>
  </w:style>
  <w:style w:type="paragraph" w:styleId="1155">
    <w:name w:val="Знак Знак1 Знак Знак Знак Знак Знак Знак Знак Знак"/>
    <w:basedOn w:val="1085"/>
    <w:link w:val="1156"/>
    <w:pPr>
      <w:spacing w:line="240" w:lineRule="exact"/>
    </w:pPr>
    <w:rPr>
      <w:rFonts w:ascii="Times New Roman" w:hAnsi="Times New Roman"/>
      <w:sz w:val="24"/>
    </w:rPr>
  </w:style>
  <w:style w:type="character" w:styleId="1156">
    <w:name w:val="Знак Знак1 Знак Знак Знак Знак Знак Знак Знак Знак"/>
    <w:basedOn w:val="1086"/>
    <w:link w:val="1155"/>
    <w:rPr>
      <w:rFonts w:ascii="Times New Roman" w:hAnsi="Times New Roman"/>
      <w:sz w:val="24"/>
    </w:rPr>
  </w:style>
  <w:style w:type="paragraph" w:styleId="1157">
    <w:name w:val="Heading 1"/>
    <w:basedOn w:val="1085"/>
    <w:next w:val="1085"/>
    <w:link w:val="1158"/>
    <w:uiPriority w:val="9"/>
    <w:qFormat/>
    <w:pPr>
      <w:keepLines/>
      <w:keepNext/>
      <w:spacing w:before="480" w:after="0"/>
      <w:outlineLvl w:val="0"/>
    </w:pPr>
    <w:rPr>
      <w:rFonts w:asciiTheme="majorAscii" w:hAnsiTheme="majorHAnsi"/>
      <w:b/>
      <w:color w:val="376092" w:themeColor="accent1" w:themeShade="BF"/>
      <w:sz w:val="28"/>
    </w:rPr>
  </w:style>
  <w:style w:type="character" w:styleId="1158">
    <w:name w:val="Heading 1"/>
    <w:basedOn w:val="1086"/>
    <w:link w:val="1157"/>
    <w:rPr>
      <w:rFonts w:asciiTheme="majorAscii" w:hAnsiTheme="majorHAnsi"/>
      <w:b/>
      <w:color w:val="376092" w:themeColor="accent1" w:themeShade="BF"/>
      <w:sz w:val="28"/>
    </w:rPr>
  </w:style>
  <w:style w:type="paragraph" w:styleId="1159">
    <w:name w:val="Знак Знак1 Знак Знак Знак Знак Знак Знак Знак Знак"/>
    <w:basedOn w:val="1085"/>
    <w:link w:val="1160"/>
    <w:pPr>
      <w:spacing w:line="240" w:lineRule="exact"/>
    </w:pPr>
    <w:rPr>
      <w:rFonts w:ascii="Times New Roman" w:hAnsi="Times New Roman"/>
      <w:sz w:val="24"/>
    </w:rPr>
  </w:style>
  <w:style w:type="character" w:styleId="1160">
    <w:name w:val="Знак Знак1 Знак Знак Знак Знак Знак Знак Знак Знак"/>
    <w:basedOn w:val="1086"/>
    <w:link w:val="1159"/>
    <w:rPr>
      <w:rFonts w:ascii="Times New Roman" w:hAnsi="Times New Roman"/>
      <w:sz w:val="24"/>
    </w:rPr>
  </w:style>
  <w:style w:type="paragraph" w:styleId="1161">
    <w:name w:val="Hyperlink"/>
    <w:basedOn w:val="1171"/>
    <w:link w:val="1162"/>
    <w:rPr>
      <w:color w:val="0000ff" w:themeColor="hyperlink"/>
      <w:u w:val="single"/>
    </w:rPr>
  </w:style>
  <w:style w:type="character" w:styleId="1162">
    <w:name w:val="Hyperlink"/>
    <w:basedOn w:val="1172"/>
    <w:link w:val="1161"/>
    <w:rPr>
      <w:color w:val="0000ff" w:themeColor="hyperlink"/>
      <w:u w:val="single"/>
    </w:rPr>
  </w:style>
  <w:style w:type="paragraph" w:styleId="1163">
    <w:name w:val="Footnote"/>
    <w:basedOn w:val="1085"/>
    <w:link w:val="1164"/>
    <w:pPr>
      <w:spacing w:after="0" w:line="240" w:lineRule="auto"/>
    </w:pPr>
    <w:rPr>
      <w:sz w:val="20"/>
    </w:rPr>
  </w:style>
  <w:style w:type="character" w:styleId="1164">
    <w:name w:val="Footnote"/>
    <w:basedOn w:val="1086"/>
    <w:link w:val="1163"/>
    <w:rPr>
      <w:sz w:val="20"/>
    </w:rPr>
  </w:style>
  <w:style w:type="paragraph" w:styleId="1165">
    <w:name w:val="Знак Знак1 Знак Знак Знак Знак Знак Знак Знак Знак"/>
    <w:basedOn w:val="1085"/>
    <w:link w:val="1166"/>
    <w:pPr>
      <w:spacing w:line="240" w:lineRule="exact"/>
    </w:pPr>
    <w:rPr>
      <w:rFonts w:ascii="Times New Roman" w:hAnsi="Times New Roman"/>
      <w:sz w:val="24"/>
    </w:rPr>
  </w:style>
  <w:style w:type="character" w:styleId="1166">
    <w:name w:val="Знак Знак1 Знак Знак Знак Знак Знак Знак Знак Знак"/>
    <w:basedOn w:val="1086"/>
    <w:link w:val="1165"/>
    <w:rPr>
      <w:rFonts w:ascii="Times New Roman" w:hAnsi="Times New Roman"/>
      <w:sz w:val="24"/>
    </w:rPr>
  </w:style>
  <w:style w:type="paragraph" w:styleId="1167">
    <w:name w:val="Знак Знак1 Знак Знак Знак Знак Знак Знак Знак Знак"/>
    <w:basedOn w:val="1085"/>
    <w:link w:val="1168"/>
    <w:pPr>
      <w:spacing w:line="240" w:lineRule="exact"/>
    </w:pPr>
    <w:rPr>
      <w:rFonts w:ascii="Times New Roman" w:hAnsi="Times New Roman"/>
      <w:sz w:val="24"/>
    </w:rPr>
  </w:style>
  <w:style w:type="character" w:styleId="1168">
    <w:name w:val="Знак Знак1 Знак Знак Знак Знак Знак Знак Знак Знак"/>
    <w:basedOn w:val="1086"/>
    <w:link w:val="1167"/>
    <w:rPr>
      <w:rFonts w:ascii="Times New Roman" w:hAnsi="Times New Roman"/>
      <w:sz w:val="24"/>
    </w:rPr>
  </w:style>
  <w:style w:type="paragraph" w:styleId="1169">
    <w:name w:val="toc 1"/>
    <w:next w:val="1085"/>
    <w:link w:val="1170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1170">
    <w:name w:val="toc 1"/>
    <w:link w:val="1169"/>
    <w:rPr>
      <w:rFonts w:ascii="XO Thames" w:hAnsi="XO Thames"/>
      <w:b/>
      <w:sz w:val="28"/>
    </w:rPr>
  </w:style>
  <w:style w:type="paragraph" w:styleId="1171">
    <w:name w:val="Default Paragraph Font"/>
    <w:link w:val="1172"/>
  </w:style>
  <w:style w:type="character" w:styleId="1172">
    <w:name w:val="Default Paragraph Font"/>
    <w:link w:val="1171"/>
  </w:style>
  <w:style w:type="paragraph" w:styleId="1173">
    <w:name w:val="Знак Знак1 Знак Знак Знак Знак Знак Знак Знак Знак"/>
    <w:basedOn w:val="1085"/>
    <w:link w:val="1174"/>
    <w:pPr>
      <w:spacing w:line="240" w:lineRule="exact"/>
    </w:pPr>
    <w:rPr>
      <w:rFonts w:ascii="Times New Roman" w:hAnsi="Times New Roman"/>
      <w:sz w:val="24"/>
    </w:rPr>
  </w:style>
  <w:style w:type="character" w:styleId="1174">
    <w:name w:val="Знак Знак1 Знак Знак Знак Знак Знак Знак Знак Знак"/>
    <w:basedOn w:val="1086"/>
    <w:link w:val="1173"/>
    <w:rPr>
      <w:rFonts w:ascii="Times New Roman" w:hAnsi="Times New Roman"/>
      <w:sz w:val="24"/>
    </w:rPr>
  </w:style>
  <w:style w:type="paragraph" w:styleId="1175">
    <w:name w:val="Header and Footer"/>
    <w:link w:val="1176"/>
    <w:pPr>
      <w:jc w:val="both"/>
      <w:spacing w:line="240" w:lineRule="auto"/>
    </w:pPr>
    <w:rPr>
      <w:rFonts w:ascii="XO Thames" w:hAnsi="XO Thames"/>
      <w:sz w:val="28"/>
    </w:rPr>
  </w:style>
  <w:style w:type="character" w:styleId="1176">
    <w:name w:val="Header and Footer"/>
    <w:link w:val="1175"/>
    <w:rPr>
      <w:rFonts w:ascii="XO Thames" w:hAnsi="XO Thames"/>
      <w:sz w:val="28"/>
    </w:rPr>
  </w:style>
  <w:style w:type="paragraph" w:styleId="1177">
    <w:name w:val="Знак Знак1 Знак Знак Знак Знак Знак Знак Знак Знак"/>
    <w:basedOn w:val="1085"/>
    <w:link w:val="1178"/>
    <w:pPr>
      <w:spacing w:line="240" w:lineRule="exact"/>
    </w:pPr>
    <w:rPr>
      <w:rFonts w:ascii="Times New Roman" w:hAnsi="Times New Roman"/>
      <w:sz w:val="24"/>
    </w:rPr>
  </w:style>
  <w:style w:type="character" w:styleId="1178">
    <w:name w:val="Знак Знак1 Знак Знак Знак Знак Знак Знак Знак Знак"/>
    <w:basedOn w:val="1086"/>
    <w:link w:val="1177"/>
    <w:rPr>
      <w:rFonts w:ascii="Times New Roman" w:hAnsi="Times New Roman"/>
      <w:sz w:val="24"/>
    </w:rPr>
  </w:style>
  <w:style w:type="paragraph" w:styleId="1179">
    <w:name w:val="Знак Знак1 Знак Знак Знак Знак Знак Знак Знак Знак"/>
    <w:basedOn w:val="1085"/>
    <w:link w:val="1180"/>
    <w:pPr>
      <w:spacing w:line="240" w:lineRule="exact"/>
    </w:pPr>
    <w:rPr>
      <w:rFonts w:ascii="Times New Roman" w:hAnsi="Times New Roman"/>
      <w:sz w:val="24"/>
    </w:rPr>
  </w:style>
  <w:style w:type="character" w:styleId="1180">
    <w:name w:val="Знак Знак1 Знак Знак Знак Знак Знак Знак Знак Знак"/>
    <w:basedOn w:val="1086"/>
    <w:link w:val="1179"/>
    <w:rPr>
      <w:rFonts w:ascii="Times New Roman" w:hAnsi="Times New Roman"/>
      <w:sz w:val="24"/>
    </w:rPr>
  </w:style>
  <w:style w:type="paragraph" w:styleId="1181">
    <w:name w:val="Знак Знак1 Знак Знак Знак Знак Знак Знак Знак Знак"/>
    <w:basedOn w:val="1085"/>
    <w:link w:val="1182"/>
    <w:pPr>
      <w:spacing w:line="240" w:lineRule="exact"/>
    </w:pPr>
    <w:rPr>
      <w:rFonts w:ascii="Times New Roman" w:hAnsi="Times New Roman"/>
      <w:sz w:val="24"/>
    </w:rPr>
  </w:style>
  <w:style w:type="character" w:styleId="1182">
    <w:name w:val="Знак Знак1 Знак Знак Знак Знак Знак Знак Знак Знак"/>
    <w:basedOn w:val="1086"/>
    <w:link w:val="1181"/>
    <w:rPr>
      <w:rFonts w:ascii="Times New Roman" w:hAnsi="Times New Roman"/>
      <w:sz w:val="24"/>
    </w:rPr>
  </w:style>
  <w:style w:type="paragraph" w:styleId="1183">
    <w:name w:val="toc 9"/>
    <w:next w:val="1085"/>
    <w:link w:val="1184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1184">
    <w:name w:val="toc 9"/>
    <w:link w:val="1183"/>
    <w:rPr>
      <w:rFonts w:ascii="XO Thames" w:hAnsi="XO Thames"/>
      <w:sz w:val="28"/>
    </w:rPr>
  </w:style>
  <w:style w:type="paragraph" w:styleId="1185">
    <w:name w:val="Body Text 2"/>
    <w:basedOn w:val="1085"/>
    <w:link w:val="1186"/>
    <w:pPr>
      <w:spacing w:after="120" w:line="480" w:lineRule="auto"/>
    </w:pPr>
  </w:style>
  <w:style w:type="character" w:styleId="1186">
    <w:name w:val="Body Text 2"/>
    <w:basedOn w:val="1086"/>
    <w:link w:val="1185"/>
  </w:style>
  <w:style w:type="paragraph" w:styleId="1187">
    <w:name w:val="toc 8"/>
    <w:next w:val="1085"/>
    <w:link w:val="118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1188">
    <w:name w:val="toc 8"/>
    <w:link w:val="1187"/>
    <w:rPr>
      <w:rFonts w:ascii="XO Thames" w:hAnsi="XO Thames"/>
      <w:sz w:val="28"/>
    </w:rPr>
  </w:style>
  <w:style w:type="paragraph" w:styleId="1189">
    <w:name w:val="Знак Знак1 Знак Знак Знак Знак Знак Знак Знак Знак"/>
    <w:basedOn w:val="1085"/>
    <w:link w:val="1190"/>
    <w:pPr>
      <w:spacing w:line="240" w:lineRule="exact"/>
    </w:pPr>
    <w:rPr>
      <w:rFonts w:ascii="Times New Roman" w:hAnsi="Times New Roman"/>
      <w:sz w:val="24"/>
    </w:rPr>
  </w:style>
  <w:style w:type="character" w:styleId="1190">
    <w:name w:val="Знак Знак1 Знак Знак Знак Знак Знак Знак Знак Знак"/>
    <w:basedOn w:val="1086"/>
    <w:link w:val="1189"/>
    <w:rPr>
      <w:rFonts w:ascii="Times New Roman" w:hAnsi="Times New Roman"/>
      <w:sz w:val="24"/>
    </w:rPr>
  </w:style>
  <w:style w:type="paragraph" w:styleId="1191">
    <w:name w:val="Знак Знак1 Знак Знак Знак Знак Знак Знак Знак Знак"/>
    <w:basedOn w:val="1085"/>
    <w:link w:val="1192"/>
    <w:pPr>
      <w:spacing w:line="240" w:lineRule="exact"/>
    </w:pPr>
    <w:rPr>
      <w:rFonts w:ascii="Times New Roman" w:hAnsi="Times New Roman"/>
      <w:sz w:val="24"/>
    </w:rPr>
  </w:style>
  <w:style w:type="character" w:styleId="1192">
    <w:name w:val="Знак Знак1 Знак Знак Знак Знак Знак Знак Знак Знак"/>
    <w:basedOn w:val="1086"/>
    <w:link w:val="1191"/>
    <w:rPr>
      <w:rFonts w:ascii="Times New Roman" w:hAnsi="Times New Roman"/>
      <w:sz w:val="24"/>
    </w:rPr>
  </w:style>
  <w:style w:type="paragraph" w:styleId="1193">
    <w:name w:val="List Paragraph"/>
    <w:basedOn w:val="1085"/>
    <w:link w:val="1194"/>
    <w:pPr>
      <w:contextualSpacing/>
      <w:ind w:left="720" w:firstLine="0"/>
    </w:pPr>
  </w:style>
  <w:style w:type="character" w:styleId="1194">
    <w:name w:val="List Paragraph"/>
    <w:basedOn w:val="1086"/>
    <w:link w:val="1193"/>
  </w:style>
  <w:style w:type="paragraph" w:styleId="1195">
    <w:name w:val="endnote reference"/>
    <w:basedOn w:val="1171"/>
    <w:link w:val="1196"/>
    <w:rPr>
      <w:vertAlign w:val="superscript"/>
    </w:rPr>
  </w:style>
  <w:style w:type="character" w:styleId="1196">
    <w:name w:val="endnote reference"/>
    <w:basedOn w:val="1172"/>
    <w:link w:val="1195"/>
    <w:rPr>
      <w:vertAlign w:val="superscript"/>
    </w:rPr>
  </w:style>
  <w:style w:type="paragraph" w:styleId="1197">
    <w:name w:val="toc 5"/>
    <w:next w:val="1085"/>
    <w:link w:val="1198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1198">
    <w:name w:val="toc 5"/>
    <w:link w:val="1197"/>
    <w:rPr>
      <w:rFonts w:ascii="XO Thames" w:hAnsi="XO Thames"/>
      <w:sz w:val="28"/>
    </w:rPr>
  </w:style>
  <w:style w:type="paragraph" w:styleId="1199">
    <w:name w:val="Основной текст1"/>
    <w:basedOn w:val="1085"/>
    <w:link w:val="1200"/>
    <w:pPr>
      <w:ind w:left="0" w:firstLine="700"/>
      <w:jc w:val="both"/>
      <w:spacing w:after="0" w:line="322" w:lineRule="exact"/>
      <w:widowControl w:val="off"/>
    </w:pPr>
    <w:rPr>
      <w:rFonts w:ascii="Times New Roman" w:hAnsi="Times New Roman"/>
      <w:spacing w:val="3"/>
      <w:sz w:val="25"/>
    </w:rPr>
  </w:style>
  <w:style w:type="character" w:styleId="1200">
    <w:name w:val="Основной текст1"/>
    <w:basedOn w:val="1086"/>
    <w:link w:val="1199"/>
    <w:rPr>
      <w:rFonts w:ascii="Times New Roman" w:hAnsi="Times New Roman"/>
      <w:spacing w:val="3"/>
      <w:sz w:val="25"/>
    </w:rPr>
  </w:style>
  <w:style w:type="paragraph" w:styleId="1201">
    <w:name w:val="Знак Знак1 Знак Знак Знак Знак Знак Знак Знак Знак"/>
    <w:basedOn w:val="1085"/>
    <w:link w:val="1202"/>
    <w:pPr>
      <w:spacing w:line="240" w:lineRule="exact"/>
    </w:pPr>
    <w:rPr>
      <w:rFonts w:ascii="Times New Roman" w:hAnsi="Times New Roman"/>
      <w:sz w:val="24"/>
    </w:rPr>
  </w:style>
  <w:style w:type="character" w:styleId="1202">
    <w:name w:val="Знак Знак1 Знак Знак Знак Знак Знак Знак Знак Знак"/>
    <w:basedOn w:val="1086"/>
    <w:link w:val="1201"/>
    <w:rPr>
      <w:rFonts w:ascii="Times New Roman" w:hAnsi="Times New Roman"/>
      <w:sz w:val="24"/>
    </w:rPr>
  </w:style>
  <w:style w:type="paragraph" w:styleId="1203">
    <w:name w:val="Balloon Text"/>
    <w:basedOn w:val="1085"/>
    <w:link w:val="1204"/>
    <w:pPr>
      <w:spacing w:after="0" w:line="240" w:lineRule="auto"/>
    </w:pPr>
    <w:rPr>
      <w:rFonts w:ascii="Segoe UI" w:hAnsi="Segoe UI"/>
      <w:sz w:val="18"/>
    </w:rPr>
  </w:style>
  <w:style w:type="character" w:styleId="1204">
    <w:name w:val="Balloon Text"/>
    <w:basedOn w:val="1086"/>
    <w:link w:val="1203"/>
    <w:rPr>
      <w:rFonts w:ascii="Segoe UI" w:hAnsi="Segoe UI"/>
      <w:sz w:val="18"/>
    </w:rPr>
  </w:style>
  <w:style w:type="paragraph" w:styleId="1205">
    <w:name w:val="Знак Знак1 Знак Знак Знак Знак Знак Знак Знак Знак"/>
    <w:basedOn w:val="1085"/>
    <w:link w:val="1206"/>
    <w:pPr>
      <w:spacing w:line="240" w:lineRule="exact"/>
    </w:pPr>
    <w:rPr>
      <w:rFonts w:ascii="Times New Roman" w:hAnsi="Times New Roman"/>
      <w:sz w:val="24"/>
    </w:rPr>
  </w:style>
  <w:style w:type="character" w:styleId="1206">
    <w:name w:val="Знак Знак1 Знак Знак Знак Знак Знак Знак Знак Знак"/>
    <w:basedOn w:val="1086"/>
    <w:link w:val="1205"/>
    <w:rPr>
      <w:rFonts w:ascii="Times New Roman" w:hAnsi="Times New Roman"/>
      <w:sz w:val="24"/>
    </w:rPr>
  </w:style>
  <w:style w:type="paragraph" w:styleId="1207">
    <w:name w:val="Subtitle"/>
    <w:next w:val="1085"/>
    <w:link w:val="120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208">
    <w:name w:val="Subtitle"/>
    <w:link w:val="1207"/>
    <w:rPr>
      <w:rFonts w:ascii="XO Thames" w:hAnsi="XO Thames"/>
      <w:i/>
      <w:sz w:val="24"/>
    </w:rPr>
  </w:style>
  <w:style w:type="paragraph" w:styleId="1209">
    <w:name w:val="Footer"/>
    <w:basedOn w:val="1085"/>
    <w:link w:val="121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10">
    <w:name w:val="Footer"/>
    <w:basedOn w:val="1086"/>
    <w:link w:val="1209"/>
  </w:style>
  <w:style w:type="paragraph" w:styleId="1211">
    <w:name w:val="Знак Знак1 Знак Знак Знак Знак Знак Знак Знак Знак"/>
    <w:basedOn w:val="1085"/>
    <w:link w:val="1212"/>
    <w:pPr>
      <w:spacing w:line="240" w:lineRule="exact"/>
    </w:pPr>
    <w:rPr>
      <w:rFonts w:ascii="Times New Roman" w:hAnsi="Times New Roman"/>
      <w:sz w:val="24"/>
    </w:rPr>
  </w:style>
  <w:style w:type="character" w:styleId="1212">
    <w:name w:val="Знак Знак1 Знак Знак Знак Знак Знак Знак Знак Знак"/>
    <w:basedOn w:val="1086"/>
    <w:link w:val="1211"/>
    <w:rPr>
      <w:rFonts w:ascii="Times New Roman" w:hAnsi="Times New Roman"/>
      <w:sz w:val="24"/>
    </w:rPr>
  </w:style>
  <w:style w:type="paragraph" w:styleId="1213">
    <w:name w:val="Знак Знак1 Знак Знак Знак Знак Знак Знак Знак Знак"/>
    <w:basedOn w:val="1085"/>
    <w:link w:val="1214"/>
    <w:pPr>
      <w:spacing w:line="240" w:lineRule="exact"/>
    </w:pPr>
    <w:rPr>
      <w:rFonts w:ascii="Times New Roman" w:hAnsi="Times New Roman"/>
      <w:sz w:val="24"/>
    </w:rPr>
  </w:style>
  <w:style w:type="character" w:styleId="1214">
    <w:name w:val="Знак Знак1 Знак Знак Знак Знак Знак Знак Знак Знак"/>
    <w:basedOn w:val="1086"/>
    <w:link w:val="1213"/>
    <w:rPr>
      <w:rFonts w:ascii="Times New Roman" w:hAnsi="Times New Roman"/>
      <w:sz w:val="24"/>
    </w:rPr>
  </w:style>
  <w:style w:type="paragraph" w:styleId="1215">
    <w:name w:val="Знак Знак1 Знак Знак Знак Знак Знак Знак Знак Знак"/>
    <w:basedOn w:val="1085"/>
    <w:link w:val="1216"/>
    <w:pPr>
      <w:spacing w:line="240" w:lineRule="exact"/>
    </w:pPr>
    <w:rPr>
      <w:rFonts w:ascii="Times New Roman" w:hAnsi="Times New Roman"/>
      <w:sz w:val="24"/>
    </w:rPr>
  </w:style>
  <w:style w:type="character" w:styleId="1216">
    <w:name w:val="Знак Знак1 Знак Знак Знак Знак Знак Знак Знак Знак"/>
    <w:basedOn w:val="1086"/>
    <w:link w:val="1215"/>
    <w:rPr>
      <w:rFonts w:ascii="Times New Roman" w:hAnsi="Times New Roman"/>
      <w:sz w:val="24"/>
    </w:rPr>
  </w:style>
  <w:style w:type="paragraph" w:styleId="1217">
    <w:name w:val="Знак Знак1 Знак Знак Знак Знак Знак Знак Знак Знак"/>
    <w:basedOn w:val="1085"/>
    <w:link w:val="1218"/>
    <w:pPr>
      <w:spacing w:line="240" w:lineRule="exact"/>
    </w:pPr>
    <w:rPr>
      <w:rFonts w:ascii="Times New Roman" w:hAnsi="Times New Roman"/>
      <w:sz w:val="24"/>
    </w:rPr>
  </w:style>
  <w:style w:type="character" w:styleId="1218">
    <w:name w:val="Знак Знак1 Знак Знак Знак Знак Знак Знак Знак Знак"/>
    <w:basedOn w:val="1086"/>
    <w:link w:val="1217"/>
    <w:rPr>
      <w:rFonts w:ascii="Times New Roman" w:hAnsi="Times New Roman"/>
      <w:sz w:val="24"/>
    </w:rPr>
  </w:style>
  <w:style w:type="paragraph" w:styleId="1219">
    <w:name w:val="Знак Знак1 Знак Знак Знак Знак Знак Знак Знак Знак"/>
    <w:basedOn w:val="1085"/>
    <w:link w:val="1220"/>
    <w:pPr>
      <w:spacing w:line="240" w:lineRule="exact"/>
    </w:pPr>
    <w:rPr>
      <w:rFonts w:ascii="Times New Roman" w:hAnsi="Times New Roman"/>
      <w:sz w:val="24"/>
    </w:rPr>
  </w:style>
  <w:style w:type="character" w:styleId="1220">
    <w:name w:val="Знак Знак1 Знак Знак Знак Знак Знак Знак Знак Знак"/>
    <w:basedOn w:val="1086"/>
    <w:link w:val="1219"/>
    <w:rPr>
      <w:rFonts w:ascii="Times New Roman" w:hAnsi="Times New Roman"/>
      <w:sz w:val="24"/>
    </w:rPr>
  </w:style>
  <w:style w:type="paragraph" w:styleId="1221">
    <w:name w:val="Title"/>
    <w:next w:val="1085"/>
    <w:link w:val="122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222">
    <w:name w:val="Title"/>
    <w:link w:val="1221"/>
    <w:rPr>
      <w:rFonts w:ascii="XO Thames" w:hAnsi="XO Thames"/>
      <w:b/>
      <w:caps/>
      <w:sz w:val="40"/>
    </w:rPr>
  </w:style>
  <w:style w:type="paragraph" w:styleId="1223">
    <w:name w:val="Heading 4"/>
    <w:next w:val="1085"/>
    <w:link w:val="122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224">
    <w:name w:val="Heading 4"/>
    <w:link w:val="1223"/>
    <w:rPr>
      <w:rFonts w:ascii="XO Thames" w:hAnsi="XO Thames"/>
      <w:b/>
      <w:sz w:val="24"/>
    </w:rPr>
  </w:style>
  <w:style w:type="paragraph" w:styleId="1225">
    <w:name w:val="Heading 2"/>
    <w:next w:val="1085"/>
    <w:link w:val="122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1226">
    <w:name w:val="Heading 2"/>
    <w:link w:val="1225"/>
    <w:rPr>
      <w:rFonts w:ascii="XO Thames" w:hAnsi="XO Thames"/>
      <w:b/>
      <w:sz w:val="28"/>
    </w:rPr>
  </w:style>
  <w:style w:type="paragraph" w:styleId="1227">
    <w:name w:val="Body Text Indent 2"/>
    <w:basedOn w:val="1085"/>
    <w:link w:val="1228"/>
    <w:pPr>
      <w:ind w:left="283" w:firstLine="0"/>
      <w:spacing w:after="120" w:line="480" w:lineRule="auto"/>
    </w:pPr>
  </w:style>
  <w:style w:type="character" w:styleId="1228">
    <w:name w:val="Body Text Indent 2"/>
    <w:basedOn w:val="1086"/>
    <w:link w:val="1227"/>
  </w:style>
  <w:style w:type="table" w:styleId="122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230">
    <w:name w:val="Table Grid"/>
    <w:basedOn w:val="122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123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y.eliseeva</cp:lastModifiedBy>
  <cp:revision>20</cp:revision>
  <dcterms:modified xsi:type="dcterms:W3CDTF">2026-08-04T08:24:56Z</dcterms:modified>
</cp:coreProperties>
</file>