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Межрегиональное 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ерриториальное управление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Федерального агентства по управлению государственным имуществом в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Архангельской области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 Ненецком автономном округе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(далее – продавец)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Федеральным законом от 21.12.2001 № 178-ФЗ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«О приватизации государственного и муниципального имущества»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порядке, установленном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сообщает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проведении аукциона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в электронной форме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по 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открытого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составу участников 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форме подачи предложения о цене имущества.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1117"/>
        <w:ind w:left="0" w:firstLine="0"/>
        <w:jc w:val="center"/>
        <w:spacing w:before="0" w:after="0" w:afterAutospacing="0" w:line="276" w:lineRule="auto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о проведении аукциона </w:t>
      </w:r>
      <w:r>
        <w:rPr>
          <w:rFonts w:ascii="Times New Roman" w:hAnsi="Times New Roman" w:eastAsia="Times New Roman" w:cs="Times New Roman"/>
          <w:b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 электронной форме 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Решени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о приватизации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имущества  утвержден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распоряжени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ем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продавца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от 24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.07.2026 № 206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-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р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</w:r>
    </w:p>
    <w:p>
      <w:pPr>
        <w:pStyle w:val="1145"/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Извещение об аукционе опубликовано: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45"/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сайт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"https://torgi.gov.ru/new/;"</w:instrTex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://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torgi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gov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ru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new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22"/>
          <w:rFonts w:ascii="Times New Roman" w:hAnsi="Times New Roman" w:eastAsia="Times New Roman" w:cs="Times New Roman"/>
          <w:b w:val="0"/>
          <w:color w:val="000000" w:themeColor="text1"/>
          <w:sz w:val="20"/>
          <w:szCs w:val="20"/>
          <w:lang w:val="en-US"/>
        </w:rPr>
        <w:t xml:space="preserve">;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color w:val="ff0000"/>
          <w:sz w:val="20"/>
          <w:szCs w:val="20"/>
        </w:rPr>
      </w:r>
      <w:r>
        <w:rPr>
          <w:rFonts w:ascii="Times New Roman" w:hAnsi="Times New Roman" w:cs="Times New Roman"/>
          <w:b w:val="0"/>
          <w:color w:val="ff000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электронной торговой площадке 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"http://www.rts-tender.ru;"</w:instrTex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www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.rts-tender.ru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;</w:t>
      </w:r>
      <w:r>
        <w:rPr>
          <w:rStyle w:val="112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сайте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https://fiol.rosim.gov.ru/mk/.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145"/>
        <w:ind w:left="0" w:firstLine="0"/>
        <w:jc w:val="both"/>
        <w:spacing w:before="0" w:beforeAutospacing="0" w:after="0" w:afterAutospacing="0" w:line="276" w:lineRule="auto"/>
        <w:tabs>
          <w:tab w:val="left" w:pos="2220" w:leader="none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Лот № 1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right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Наименование имущества, его характеристики, описание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земельный участок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площадью 357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кв.м, кадастровый номер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29:14:140704:22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еестровый номер федерального имущества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П11310002389)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категория земель – земли населенных пунктов, вид разрешенного использования – для общественно-деловых целей, с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расположенным на нем объектом недвижимости – нежилое здание (л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абораторный корпус) площадью 57,2 кв.м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кадастровый номер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29:14:140704:471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еестровый номер федерального имущества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П12310003563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). 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046"/>
        <w:ind w:left="0" w:right="0" w:firstLine="0"/>
        <w:jc w:val="both"/>
        <w:spacing w:before="0" w:after="0" w:afterAutospacing="0" w:line="276" w:lineRule="auto"/>
        <w:widowControl w:val="off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Наиболее эффективный вариант использования объекта недвижимости – в качестве объекта свободного (офисного, торгово-сервисного) назначения.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left"/>
        <w:spacing w:after="0" w:afterAutospacing="0" w:line="276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б) Обременения: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1046"/>
        <w:jc w:val="center"/>
        <w:spacing w:after="0" w:afterAutospacing="0" w:line="276" w:lineRule="auto"/>
        <w:widowControl w:val="off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Сведения об огр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аничениях права на объект недвижимости кадастровый номер 29:14:140704:22, обременениях данного объекта, не зарегистрированных в реестре прав, ограничений прав и обременений недвижимого имущества согласно данным Единого государственного реестра недвижимости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tbl>
      <w:tblPr>
        <w:tblStyle w:val="1189"/>
        <w:tblW w:w="963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7"/>
        <w:gridCol w:w="1909"/>
        <w:gridCol w:w="7271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center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8"/>
                <w:szCs w:val="18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center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8"/>
                <w:szCs w:val="18"/>
              </w:rPr>
              <w:t xml:space="preserve">Наименование имущества /РНФИ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1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center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8"/>
                <w:szCs w:val="18"/>
              </w:rPr>
              <w:t xml:space="preserve">Вид ограничения (обременения)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</w:tr>
      <w:tr>
        <w:tblPrEx/>
        <w:trPr>
          <w:trHeight w:val="36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7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center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0"/>
                <w:sz w:val="18"/>
                <w:szCs w:val="18"/>
              </w:rPr>
              <w:t xml:space="preserve">Земельный участок кадастровый номер 29:14:140704:22 / РНФИ П11310002389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</w:tr>
      <w:tr>
        <w:tblPrEx/>
        <w:trPr>
          <w:trHeight w:val="27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left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Весь</w:t>
            </w:r>
            <w:r>
              <w:rPr>
                <w:rFonts w:ascii="Times New Roman" w:hAnsi="Times New Roman" w:eastAsia="Times New Roman" w:cs="Times New Roman"/>
                <w:b w:val="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1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Вид ограничения (обременения): 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Российской Федерации;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реквизиты документа-основания: водный кодекс РФ от 03.06.2006 No 74-ФЗ; постановление "Об утверждении Правил установления на местности границ водоохранных зон и границ прибрежных защитных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 полос водных объектов" от 10.01.2009 No 17 выдан: Правительство Российской Федерации; постановление "Об утверждении границ водоохранных зон водных объектов и прибрежных защитных полос водных объектов в бассейне реки Пинега на участке от устья р. Шукша до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устья р. Белая, в границах поселений Пинежского муниципального района Архангельской области" от 25.09.2020 No 31п выдан: Министерство природных ресурсов и лесопромышленного комплекса Архангельской области; Содержание ограничения (обременения): В соответств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ии со ст.65 Водного кодекса Российской Федерации от 03.06.2006 No 74-ФЗ в границах водоохранных зон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кта В границах прибрежных защитных полос наряду с установленными частью 15 ст. 65,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Реестровый номер границы: 29:14-6.977;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Вид зоны по документу: Прибрежная защитная полоса участка р. Пинега в границах поселения пос. Пинега, правый берег;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Тип зоны: Прибрежная защитная полоса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42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left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9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Весь</w:t>
            </w:r>
            <w:r>
              <w:rPr>
                <w:rFonts w:ascii="Times New Roman" w:hAnsi="Times New Roman" w:eastAsia="Times New Roman" w:cs="Times New Roman"/>
                <w:b w:val="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1" w:type="dxa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вид ограничения (обременения): 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Российской Федерации;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Срок действия: не установлен;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реквизиты документа-основания: водный кодекс РФ от 03.06.2006 No 74-ФЗ; постановление "Об утверждении Правил установления на местности границ водоохранных зон и границ прибрежных защитных полос водных объ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ектов" от 10.01.2009 No 17 выдан: Правительство Российской Федерации; постановление "Об утверждении границ водоохранных зон водных объектов и прибрежных защитных полос водных объектов в бассейне реки Пинега на участке от устья р. Шукша до устья р. Белая, 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границах поселений Пинежского муниципального района Архангельской области" от 25.09.2020 No 31п выдан: Министерство природных ресурсов и лесопромышленного комплекса Архангельской области; Содержание ограничения (обременения): В соответствии с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о ст.65 Водного кодекса Российской Федерации от 03.06.2006 No 74-ФЗ в границах водоохранных зон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Реестровый номер границы: 29:14-6.978;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Вид зоны по документу: Водоохранная зона участка р. Пинега в границах поселения пос. Пинега, правый берег; Тип зоны: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1046"/>
              <w:ind w:left="0" w:right="0" w:firstLine="0"/>
              <w:jc w:val="both"/>
              <w:spacing w:before="0" w:after="0" w:afterAutospacing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Водоохранная зона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left="0" w:right="0" w:firstLine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none"/>
          <w:lang w:val="ru-RU"/>
        </w:rPr>
        <w:t xml:space="preserve">в)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Начальная цена имущест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143 544 (сто сорок три тысячи пятьсот сорок четыре) руб. 95 коп.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без НДС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154"/>
        <w:numPr>
          <w:ilvl w:val="0"/>
          <w:numId w:val="108"/>
        </w:numPr>
        <w:ind w:right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земельный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участок с кадастровым номером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29:14:140704:22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30 322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(тридцать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тысяч триста двадцать два) руб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 00 коп., НДС не облагается;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154"/>
        <w:numPr>
          <w:ilvl w:val="0"/>
          <w:numId w:val="108"/>
        </w:numPr>
        <w:ind w:right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нежилое здание (л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абораторный корпус)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кадастровым номером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29:14:140704:471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113 222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(сто тринадцать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тысяч двести двадцать два)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руб. 95 коп., без НДС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НДС будет начислен на сложившуюся в результате аукциона сумму.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г) Задаток (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0% от начальной цены продажи):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14 354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руб. 50коп.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д) Шаг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аукциона (5% от начальной цены продажи):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7 177 руб. 24 коп.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е) Местонахождение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Российская Федерация, Архангельская обл., муниципальный округ Пинежский, поселок Пинега, улица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Набережная, дом 76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ж) Информация 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предыд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ущих торгах по продаже указанного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(по актуализированной (действующей) стоимости)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объявленных в течение года, предшествующего его продаже, и об итогах торгов по продаже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 торги по продаже указанного имущества ранее не объявлялись.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В соответствии с абз. 4 п. 3 ст. 161 Налогового кодекса Российской Федерации при реализации (п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ередаче) на территории Российской Федерации государственного имущества, не закрепленн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азанные лица (юридические лица) обязаны исчислить расчетным методом, удержать из выплачиваемых доходов и уплатить в бюджет соответствующую сумму налога. В этой связи в случае, когда покупателем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 является физическое лицо, налоговым агентом выступает Росимущество (его территориальный орган) и соответственно сумма уплачиваемых по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законодательством. В связи с чем, НДС будет начислена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при заключении договора купли-продажи 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сложившуюся в результате аукциона сумму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Место подачи заявки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 участие в аук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ционе по приобретению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Претендент должен пройти регистрацию на электронной площадке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После регистрации на элект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ронной площадке направляет оператору электронной площадки заявку и прилагаемые к ней электронные документы.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подается путем заполнения ее электронной формы, размещенной в открытой части электронной площадки (приложение к настоящему Информационному сообщению), с приложением электронных документов по адресу торговой электронной площадки в сети «Интернет»: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Плата за участие в продаже имущества с участников,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в том числе с лица, с которым по результатам продажи имущества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заключается договор купли-продажи имущества, оператором электронной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площадки не взимается.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и время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начала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«28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июля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00:00 (время московское).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окончания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–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«24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 2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23:55 (время московское).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Подача заявок осуществляется круглосуточно.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и место определения участников аукциона: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«28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 (время московское) 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проведения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аукциона: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«31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августа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(время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московское)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 </w: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подведения итогов аукциона: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«31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по фактическому окончанию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торгов  </w: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с прилагаемыми к ним документами, поданные с нарушением установленного срока, на электронной площадке не регистрируются.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Э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оператора электронной площадки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Перечень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документов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 представляемых участниками аукциона и требования к их оформлению: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Одно лицо имеет право подать только одну заявку. О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дновременно с Заявкой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(Приложение 1)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на участие в аукционе Претенденты представляют следующие документы в форме электронных документов либо электронных образов документов, заверенных электронной подписью: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pStyle w:val="1113"/>
        <w:numPr>
          <w:ilvl w:val="0"/>
          <w:numId w:val="4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</w:t>
      </w:r>
      <w:r>
        <w:rPr>
          <w:rStyle w:val="104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в установленном порядке, или нотариально заверенная копия такой доверенности</w:t>
      </w:r>
      <w:r>
        <w:rPr>
          <w:rStyle w:val="104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(в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>
        <w:rPr>
          <w:rStyle w:val="104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</w:t>
      </w:r>
      <w:r>
        <w:rPr>
          <w:rStyle w:val="104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или нотариально заверенная копия такой доверенности должны быть оформлены в установленном порядке.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13"/>
        <w:numPr>
          <w:ilvl w:val="0"/>
          <w:numId w:val="4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индивидуальные предприниматели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предъявляют документ, удостоверяющий личность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копии всех его листов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4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shd w:val="clear" w:color="auto" w:fill="4bf357"/>
        </w:rPr>
      </w:pP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 индивидуальные предприниматели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 предъявляют СОГЛАСИЕ НА ОБРАБОТКУ ПЕРСОНАЛЬНЫХ ДАННЫХ  В ВИДЕ ОТДЕЛЬНОГО ДОКУМЕНТА, СОГЛАСНО ПРИЛОЖЕНИЮ К ИНФОРМАЦИОННОМУ СООБЩЕНИЮ – в соответствии с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изменения в Федеральный закон о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т 27.07.2006 № 152-ФЗ «О персональных данных»,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внесенных Федеральным законом от 24.06.2025 № 156-ФЗ «О создании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многофункционального сервиса обмена информацией и о внесении изменений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 отдельные законодательные акты Российской Федерации»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</w:rPr>
      </w:r>
      <w:r>
        <w:rPr>
          <w:rFonts w:ascii="Times New Roman" w:hAnsi="Times New Roman" w:cs="Times New Roman"/>
          <w:sz w:val="20"/>
          <w:szCs w:val="20"/>
          <w:shd w:val="clear" w:color="auto" w:fill="4bf357"/>
        </w:rPr>
      </w:r>
    </w:p>
    <w:p>
      <w:pPr>
        <w:pStyle w:val="1187"/>
        <w:numPr>
          <w:ilvl w:val="0"/>
          <w:numId w:val="4"/>
        </w:num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юридические лица представляют: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заверенные копии учредительных документов;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содержащий сведения о доле Российской Фе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который подтверждает полномочия руководит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енности.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7"/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информационного сообщения.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подаются одновременно с полным комплектом документов, установленным в настоящем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Организатора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внесения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частью 6 статьи 18 Федерального закон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 от 21 декабря 2001 года № 178-ФЗ «О приватизации государственного и муниципального имущества», пункта 30 Постановления РФ от 27 августа 2012 года №860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размер задатка устанавливается в размере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- 20 процентов начальной цены, указанной в информационном сообщении о продаже государственного имущества и составляющей 100 миллионов рублей и более;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-10 процентов начальной цены, указанной в информационном сообщении о продаже государственного имущества и составляющей менее 100 миллионов рублей.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Данное информационное сообщение является публичной офертой для з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Для участия в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аукционе претендент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вносит задаток в валюте Российской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Федерации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на счет оператора электронной площадки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«РТС-Тендер»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еквизиты счетв электронной площадки «РТС-Тендер»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  <w:lang w:val="ru-RU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Получатель ООО «РТС-тендер»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Наименование банка Филиал «Корпоративный» ПАО «СОВКОМБАНК»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Расчетный счёт 40702810512030016362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Корр. счёт 30101810445250000360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БИК 044525360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ИНН 7710357167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КПП 773001001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победителя аукциона государственного имущества засчитывается в счет оплаты приобретаемого 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071"/>
        <w:ind w:left="0" w:firstLine="0"/>
        <w:jc w:val="both"/>
        <w:spacing w:after="0" w:afterAutospacing="0" w:line="276" w:lineRule="auto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Перевод задатка претендентами осуществляется до даты окончания приема заявок.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Информация о внесении претендентом денежных средств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в размере задатка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направляется оператором электронной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площадки продавцу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вместе с заявкой.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Документом, подтверждающим поступление задатка претендента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, является выписка со счета оператора электронной площадки,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указанного в информационном сообщении о проведении продажи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Возврат задатка производится оператором торговой площадки: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участникам, за исключением победителя, - в течение 5 дней со дня подведения итогов продажи имущества;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претендентам, не допущенным к участию в продаже имущества, -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в случае отзыва претендентом заявки не позднее дня окончания приема заявок поступивший от претендента задаток подлежит возврату в течение 5 дней со дня поступлен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ия уведомления об отзыве заявки;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 в случае отзыва претендентом заявки позднее дня окончания приема заявок задаток возвращается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ра, 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покупателя от оплаты имущества в установленные сроки 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 случае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признания аукциона несостоявшимся, задаток возвращается участникам в течение 5 дней со дня подписания протокола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признании аукциона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5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тавлены не все документы в соответствии с перечнем, указанным в информационном сообщении (за исключением предложений о цене государственного имущества на аукционе), или оформление указанных документов не соответствует законодательству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подана лицом, не уполномоченным претендентом на осуществление таких действий;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подтверждено поступление в установленный срок задатка на счета, указанные в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проведения аукциона: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Проведение продажи государственного имущества в электронной форме осуществляется на электронной площадке оператором электронной площадки по адресу 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.</w:t>
      </w:r>
      <w:r>
        <w:rPr>
          <w:rStyle w:val="1122"/>
          <w:rFonts w:ascii="Times New Roman" w:hAnsi="Times New Roman" w:eastAsia="Times New Roman" w:cs="Times New Roman"/>
          <w:b/>
          <w:sz w:val="20"/>
          <w:szCs w:val="20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  <w:r>
        <w:rPr>
          <w:rFonts w:ascii="Times New Roman" w:hAnsi="Times New Roman" w:eastAsia="Times New Roman" w:cs="Times New Roman"/>
          <w:b/>
          <w:color w:val="0000ff" w:themeColor="hyperlink"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не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Победителем признается участник, предложивший наиболее высокую цену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случае, если заявку на участие в аукционе подало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только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одно лицо, признанное единственным участником аукциона, договор заключается с таким лицом по начальной цене продажи государственного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 отказа лица, признанного единственным участником аукциона, от заключения договора аукцион признается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Подведение итогов аукциона оформляется протоколом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Протокол об 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огах аукциона удостоверяет право победителя на заключение договора купли-продажи имущества,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считается завершенной со времени подписания продавцом протокола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не было подано ни одной заявки на участие либо ни один из претендентов не признан участником;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лицо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признанное единственным участником аукциона, отказалось от заключения договора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купли-продажи;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в) ни один из участников не сделал предложение о начальной цене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Решение о признании аукциона несостоявшимся оформляется протоколом.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Покупателями государственного имущества могут быть любые физические и юридические лица, за исключением: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5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государственных и муниципальных унитарных предприятий, государственных и муниципальных учреждений;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"consultantplus://offline/ref=EFB08118F5A3C6915D19F6369DBF1C0A654A711B6554C2CF20A047C2DB563EE0650132DC4F703EA88737A04DA84677B33294B5A23DK6PAK"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статьей 25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Федерального закона от 21.12.2001 №178-ФЗ "О приватизации государственного и муниципального имущества"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"consultantplus://offline/ref=EFB08118F5A3C6915D19F6369DBF1C0A64417212635FC2CF20A047C2DB563EE0650132DD402164B8837EF449B74E68AC318AB6KAPBK"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государств и территорий, предоставляющи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бенефициарных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ообщении о проведении продажи имущества, запрос о разъяснении размещенной информации. 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Срок заключения договора купли-продажи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аключение договора купли-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продажи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(Приложение 2)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с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победителем аукциона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осуществляется не ранее чем через 10 дней и не позднее 20 дней со дня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размещения на официальном сайте в сети "Интернет" протокола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об итогах аукциона.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Договор купли-продажи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заключается между продавцом и победителем аукциона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форме электронного документа.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возвращается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он утрачивает право на заключение указанного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Оплата приобретаемого имущества производится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25 рабочих дней с даты подписания Договора купли-продажи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путем перечисления денежных средств по следующим реквизитам: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tbl>
      <w:tblPr>
        <w:tblW w:w="98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19"/>
        <w:gridCol w:w="6435"/>
      </w:tblGrid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Сокращенное 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МТУ Росимущества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2901194203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290101001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Единый 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03212643000000013244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Лицевой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05241А21020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ОКЦ № 1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ВВГУ Банка России //УФК по Нижегородской области, г.Нижний Новогород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Код (поле 22)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4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0011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 в договоре купли-продажи имущества,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п. 48. постановления Правительства РФ от 27.08.2012 N 860 "Об организации и проведении продажи государственного или муниципального имущества в электронной форме"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случае отказа или уклонения от оплаты имущества в установленные сроки Покупателем,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Переход права собственности: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приобретаемое имущество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возникает у покупателя только после полной оплаты стоимости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приватизируемое недвижимое имущество переходит к покупателю со дня государственной регистрации перехода права собственнос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ти на такое имущество. Основанием государственной регистрации такого имущества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567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Условия и срок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передачи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передача государственного имущества и оформление права собственности на него осуществляются в соответствии с законодательством Российско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й Федерации и договором купли-продажи не позднее чем через тридцать дней после дня полной оплаты имущества.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Передача имущества покупателю осуществляется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  подписываемому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сторонами акту приема-передачи (Приложение к данному информационному сообщению) к Договору купли продажи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десятидневный срок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момента оплаты Имущества.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Примечание: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8"/>
        </w:num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нформаци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онное сообщение об итогах 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будет размещено в тех же средствах массовой информации, в которых было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опубликован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 сообщение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8"/>
        </w:num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ачал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ьная цена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аукциона уст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анавливается в соответствии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с Ф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едераль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ным закон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ом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от 29.07.1998 №135-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З «Об оце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ночной деятельности в Россий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ской Федерации»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отчета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от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19.06.2026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№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Н-47937/26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об оценке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рыночной стоимости объектов недвижимого имущества, выполненного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OOO «ЛАИР»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ссылка на отчет рыночной стоимости приватизиру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емого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едерального имущества: </w: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begin"/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"https://fedresurs.ru/sfactmessages/cbb9e234-a03f-4d0c-bdf6-556df524343f"</w:instrTex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https://fedresurs.ru/sfactmessages/cbb9e234-a03f-4d0c-bdf6-556df524343f</w:t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Style w:val="112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Проект договора купли-продаж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акт приема-передачи к имущества к договору купли-продажи,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форма заявки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являются приложением к данному информационному сообщению.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Ознакомиться с иной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дополнительной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информацией возможно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  адресу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г. Архангельск, ул. Выучейского, д. 2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пн-чт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17:15,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15:45, обед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13:00 – 13:45) или по номе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 телефона 8-8182-20-17-14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8-921-477-57-67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(по предварительной записи)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Для личного ознакомления с объектом недвижимости необходимо позвонить по номеру телефону: 8-8182-20-17-12.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45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1145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45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45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Руководитель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Межрегионального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45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Территориального управления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  <w:tab/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А.А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Баранов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426" w:left="1418" w:header="720" w:footer="72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XO Thames">
    <w:panose1 w:val="020206030504050203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08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7"/>
      <w:jc w:val="right"/>
      <w:tabs>
        <w:tab w:val="clear" w:pos="4677" w:leader="none"/>
        <w:tab w:val="clear" w:pos="9355" w:leader="none"/>
      </w:tabs>
      <w:rPr>
        <w:color w:val="7f7f7f" w:themeColor="text1" w:themeTint="80"/>
      </w:rPr>
    </w:pPr>
    <w:r>
      <w:rPr>
        <w:color w:val="7f7f7f" w:themeColor="text1" w:themeTint="80"/>
      </w:rPr>
    </w:r>
    <w:r>
      <w:rPr>
        <w:color w:val="7f7f7f" w:themeColor="text1" w:themeTint="80"/>
      </w:rPr>
    </w:r>
    <w:r>
      <w:rPr>
        <w:color w:val="7f7f7f" w:themeColor="text1" w:themeTint="80"/>
      </w:rPr>
    </w:r>
  </w:p>
  <w:p>
    <w:pPr>
      <w:pStyle w:val="1087"/>
      <w:jc w:val="both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0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  <w:tabs>
          <w:tab w:val="left" w:pos="0" w:leader="none"/>
        </w:tabs>
      </w:pPr>
      <w:rPr>
        <w:rFonts w:ascii="Calibri" w:hAnsi="Calibri"/>
      </w:rPr>
    </w:lvl>
    <w:lvl w:ilvl="1">
      <w:start w:val="0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0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0"/>
      <w:numFmt w:val="bullet"/>
      <w:isLgl w:val="false"/>
      <w:suff w:val="tab"/>
      <w:lvlText w:val="-"/>
      <w:lvlJc w:val="left"/>
      <w:pPr>
        <w:ind w:left="2880" w:hanging="360"/>
        <w:widowControl/>
        <w:tabs>
          <w:tab w:val="left" w:pos="0" w:leader="none"/>
        </w:tabs>
      </w:pPr>
      <w:rPr>
        <w:rFonts w:ascii="Calibri" w:hAnsi="Calibri"/>
      </w:rPr>
    </w:lvl>
    <w:lvl w:ilvl="4">
      <w:start w:val="0"/>
      <w:numFmt w:val="bullet"/>
      <w:isLgl w:val="false"/>
      <w:suff w:val="tab"/>
      <w:lvlText w:val="o"/>
      <w:lvlJc w:val="left"/>
      <w:pPr>
        <w:ind w:left="360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0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0"/>
      <w:numFmt w:val="bullet"/>
      <w:isLgl w:val="false"/>
      <w:suff w:val="tab"/>
      <w:lvlText w:val="-"/>
      <w:lvlJc w:val="left"/>
      <w:pPr>
        <w:ind w:left="5040" w:hanging="360"/>
        <w:widowControl/>
        <w:tabs>
          <w:tab w:val="left" w:pos="0" w:leader="none"/>
        </w:tabs>
      </w:pPr>
      <w:rPr>
        <w:rFonts w:ascii="Calibri" w:hAnsi="Calibri"/>
      </w:rPr>
    </w:lvl>
    <w:lvl w:ilvl="7">
      <w:start w:val="0"/>
      <w:numFmt w:val="bullet"/>
      <w:isLgl w:val="false"/>
      <w:suff w:val="tab"/>
      <w:lvlText w:val="o"/>
      <w:lvlJc w:val="left"/>
      <w:pPr>
        <w:ind w:left="576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0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1">
    <w:name w:val="Heading 1 Char"/>
    <w:basedOn w:val="1132"/>
    <w:link w:val="111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92">
    <w:name w:val="Heading 2 Char"/>
    <w:basedOn w:val="1132"/>
    <w:link w:val="1186"/>
    <w:uiPriority w:val="9"/>
    <w:rPr>
      <w:rFonts w:ascii="Liberation Sans" w:hAnsi="Liberation Sans" w:eastAsia="Liberation Sans" w:cs="Liberation Sans"/>
      <w:sz w:val="34"/>
    </w:rPr>
  </w:style>
  <w:style w:type="character" w:styleId="893">
    <w:name w:val="Heading 3 Char"/>
    <w:basedOn w:val="1132"/>
    <w:link w:val="107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94">
    <w:name w:val="Heading 4 Char"/>
    <w:basedOn w:val="1132"/>
    <w:link w:val="11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95">
    <w:name w:val="Heading 5 Char"/>
    <w:basedOn w:val="1132"/>
    <w:link w:val="111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96">
    <w:name w:val="Heading 6"/>
    <w:basedOn w:val="1046"/>
    <w:next w:val="1046"/>
    <w:link w:val="89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97">
    <w:name w:val="Heading 6 Char"/>
    <w:basedOn w:val="1132"/>
    <w:link w:val="89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98">
    <w:name w:val="Heading 7"/>
    <w:basedOn w:val="1046"/>
    <w:next w:val="1046"/>
    <w:link w:val="89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99">
    <w:name w:val="Heading 7 Char"/>
    <w:basedOn w:val="1132"/>
    <w:link w:val="8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900">
    <w:name w:val="Heading 8"/>
    <w:basedOn w:val="1046"/>
    <w:next w:val="1046"/>
    <w:link w:val="9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01">
    <w:name w:val="Heading 8 Char"/>
    <w:basedOn w:val="1132"/>
    <w:link w:val="9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02">
    <w:name w:val="Heading 9"/>
    <w:basedOn w:val="1046"/>
    <w:next w:val="1046"/>
    <w:link w:val="9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03">
    <w:name w:val="Heading 9 Char"/>
    <w:basedOn w:val="1132"/>
    <w:link w:val="9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04">
    <w:name w:val="Title Char"/>
    <w:basedOn w:val="1132"/>
    <w:link w:val="1182"/>
    <w:uiPriority w:val="10"/>
    <w:rPr>
      <w:sz w:val="48"/>
      <w:szCs w:val="48"/>
    </w:rPr>
  </w:style>
  <w:style w:type="character" w:styleId="905">
    <w:name w:val="Subtitle Char"/>
    <w:basedOn w:val="1132"/>
    <w:link w:val="1168"/>
    <w:uiPriority w:val="11"/>
    <w:rPr>
      <w:sz w:val="24"/>
      <w:szCs w:val="24"/>
    </w:rPr>
  </w:style>
  <w:style w:type="paragraph" w:styleId="906">
    <w:name w:val="Quote"/>
    <w:basedOn w:val="1046"/>
    <w:next w:val="1046"/>
    <w:link w:val="907"/>
    <w:uiPriority w:val="29"/>
    <w:qFormat/>
    <w:pPr>
      <w:ind w:left="720" w:right="720"/>
    </w:pPr>
    <w:rPr>
      <w:i/>
    </w:rPr>
  </w:style>
  <w:style w:type="character" w:styleId="907">
    <w:name w:val="Quote Char"/>
    <w:link w:val="906"/>
    <w:uiPriority w:val="29"/>
    <w:rPr>
      <w:i/>
    </w:rPr>
  </w:style>
  <w:style w:type="paragraph" w:styleId="908">
    <w:name w:val="Intense Quote"/>
    <w:basedOn w:val="1046"/>
    <w:next w:val="1046"/>
    <w:link w:val="9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9">
    <w:name w:val="Intense Quote Char"/>
    <w:link w:val="908"/>
    <w:uiPriority w:val="30"/>
    <w:rPr>
      <w:i/>
    </w:rPr>
  </w:style>
  <w:style w:type="character" w:styleId="910">
    <w:name w:val="Header Char"/>
    <w:basedOn w:val="1132"/>
    <w:link w:val="1088"/>
    <w:uiPriority w:val="99"/>
  </w:style>
  <w:style w:type="character" w:styleId="911">
    <w:name w:val="Footer Char"/>
    <w:basedOn w:val="1132"/>
    <w:link w:val="1170"/>
    <w:uiPriority w:val="99"/>
  </w:style>
  <w:style w:type="paragraph" w:styleId="912">
    <w:name w:val="Caption"/>
    <w:basedOn w:val="1046"/>
    <w:next w:val="1046"/>
    <w:link w:val="9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13">
    <w:name w:val="Caption Char"/>
    <w:basedOn w:val="1132"/>
    <w:link w:val="912"/>
    <w:uiPriority w:val="35"/>
    <w:rPr>
      <w:b/>
      <w:bCs/>
      <w:color w:val="4f81bd" w:themeColor="accent1"/>
      <w:sz w:val="18"/>
      <w:szCs w:val="18"/>
    </w:rPr>
  </w:style>
  <w:style w:type="table" w:styleId="914">
    <w:name w:val="Table Grid Light"/>
    <w:basedOn w:val="11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5">
    <w:name w:val="Plain Table 1"/>
    <w:basedOn w:val="11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16">
    <w:name w:val="Plain Table 2"/>
    <w:basedOn w:val="11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17">
    <w:name w:val="Plain Table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18">
    <w:name w:val="Plain Table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Plain Table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20">
    <w:name w:val="Grid Table 1 Light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Grid Table 1 Light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Grid Table 1 Light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Grid Table 1 Light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Grid Table 1 Light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Grid Table 1 Light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Grid Table 1 Light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Grid Table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2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2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2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2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2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2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3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3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3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3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3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Grid Table 3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Grid Table 4"/>
    <w:basedOn w:val="11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42">
    <w:name w:val="Grid Table 4 - Accent 1"/>
    <w:basedOn w:val="11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43">
    <w:name w:val="Grid Table 4 - Accent 2"/>
    <w:basedOn w:val="11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44">
    <w:name w:val="Grid Table 4 - Accent 3"/>
    <w:basedOn w:val="11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45">
    <w:name w:val="Grid Table 4 - Accent 4"/>
    <w:basedOn w:val="11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46">
    <w:name w:val="Grid Table 4 - Accent 5"/>
    <w:basedOn w:val="11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47">
    <w:name w:val="Grid Table 4 - Accent 6"/>
    <w:basedOn w:val="11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48">
    <w:name w:val="Grid Table 5 Dark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49">
    <w:name w:val="Grid Table 5 Dark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50">
    <w:name w:val="Grid Table 5 Dark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51">
    <w:name w:val="Grid Table 5 Dark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52">
    <w:name w:val="Grid Table 5 Dark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53">
    <w:name w:val="Grid Table 5 Dark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54">
    <w:name w:val="Grid Table 5 Dark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55">
    <w:name w:val="Grid Table 6 Colorful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56">
    <w:name w:val="Grid Table 6 Colorful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57">
    <w:name w:val="Grid Table 6 Colorful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8">
    <w:name w:val="Grid Table 6 Colorful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9">
    <w:name w:val="Grid Table 6 Colorful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0">
    <w:name w:val="Grid Table 6 Colorful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61">
    <w:name w:val="Grid Table 6 Colorful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62">
    <w:name w:val="Grid Table 7 Colorful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7 Colorful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Grid Table 7 Colorful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7 Colorful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7 Colorful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Grid Table 7 Colorful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7 Colorful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1 Light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List Table 1 Light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List Table 1 Light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List Table 1 Light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List Table 1 Light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List Table 1 Light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List Table 1 Light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List Table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77">
    <w:name w:val="List Table 2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78">
    <w:name w:val="List Table 2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79">
    <w:name w:val="List Table 2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80">
    <w:name w:val="List Table 2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81">
    <w:name w:val="List Table 2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82">
    <w:name w:val="List Table 2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83">
    <w:name w:val="List Table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3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>
    <w:name w:val="List Table 3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>
    <w:name w:val="List Table 3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List Table 3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List Table 3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List Table 3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List Table 4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List Table 4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>
    <w:name w:val="List Table 4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List Table 4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>
    <w:name w:val="List Table 4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>
    <w:name w:val="List Table 4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>
    <w:name w:val="List Table 5 Dark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8">
    <w:name w:val="List Table 5 Dark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9">
    <w:name w:val="List Table 5 Dark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0">
    <w:name w:val="List Table 5 Dark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1">
    <w:name w:val="List Table 5 Dark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2">
    <w:name w:val="List Table 5 Dark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3">
    <w:name w:val="List Table 5 Dark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04">
    <w:name w:val="List Table 6 Colorful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05">
    <w:name w:val="List Table 6 Colorful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06">
    <w:name w:val="List Table 6 Colorful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7">
    <w:name w:val="List Table 6 Colorful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08">
    <w:name w:val="List Table 6 Colorful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9">
    <w:name w:val="List Table 6 Colorful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10">
    <w:name w:val="List Table 6 Colorful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11">
    <w:name w:val="List Table 7 Colorful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012">
    <w:name w:val="List Table 7 Colorful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013">
    <w:name w:val="List Table 7 Colorful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014">
    <w:name w:val="List Table 7 Colorful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015">
    <w:name w:val="List Table 7 Colorful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016">
    <w:name w:val="List Table 7 Colorful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017">
    <w:name w:val="List Table 7 Colorful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018">
    <w:name w:val="Lined - Accent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9">
    <w:name w:val="Lined - Accent 1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0">
    <w:name w:val="Lined - Accent 2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1">
    <w:name w:val="Lined - Accent 3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2">
    <w:name w:val="Lined - Accent 4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23">
    <w:name w:val="Lined - Accent 5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24">
    <w:name w:val="Lined - Accent 6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25">
    <w:name w:val="Bordered &amp; Lined - Accent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6">
    <w:name w:val="Bordered &amp; Lined - Accent 1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7">
    <w:name w:val="Bordered &amp; Lined - Accent 2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8">
    <w:name w:val="Bordered &amp; Lined - Accent 3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9">
    <w:name w:val="Bordered &amp; Lined - Accent 4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30">
    <w:name w:val="Bordered &amp; Lined - Accent 5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31">
    <w:name w:val="Bordered &amp; Lined - Accent 6"/>
    <w:basedOn w:val="11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32">
    <w:name w:val="Bordered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33">
    <w:name w:val="Bordered - Accent 1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34">
    <w:name w:val="Bordered - Accent 2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35">
    <w:name w:val="Bordered - Accent 3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36">
    <w:name w:val="Bordered - Accent 4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37">
    <w:name w:val="Bordered - Accent 5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38">
    <w:name w:val="Bordered - Accent 6"/>
    <w:basedOn w:val="11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39">
    <w:name w:val="footnote text"/>
    <w:basedOn w:val="1046"/>
    <w:link w:val="1040"/>
    <w:uiPriority w:val="99"/>
    <w:semiHidden/>
    <w:unhideWhenUsed/>
    <w:pPr>
      <w:spacing w:after="40" w:line="240" w:lineRule="auto"/>
    </w:pPr>
    <w:rPr>
      <w:sz w:val="18"/>
    </w:rPr>
  </w:style>
  <w:style w:type="character" w:styleId="1040">
    <w:name w:val="Footnote Text Char"/>
    <w:link w:val="1039"/>
    <w:uiPriority w:val="99"/>
    <w:rPr>
      <w:sz w:val="18"/>
    </w:rPr>
  </w:style>
  <w:style w:type="paragraph" w:styleId="1041">
    <w:name w:val="endnote text"/>
    <w:basedOn w:val="1046"/>
    <w:link w:val="1042"/>
    <w:uiPriority w:val="99"/>
    <w:semiHidden/>
    <w:unhideWhenUsed/>
    <w:pPr>
      <w:spacing w:after="0" w:line="240" w:lineRule="auto"/>
    </w:pPr>
    <w:rPr>
      <w:sz w:val="20"/>
    </w:rPr>
  </w:style>
  <w:style w:type="character" w:styleId="1042">
    <w:name w:val="Endnote Text Char"/>
    <w:link w:val="1041"/>
    <w:uiPriority w:val="99"/>
    <w:rPr>
      <w:sz w:val="20"/>
    </w:rPr>
  </w:style>
  <w:style w:type="paragraph" w:styleId="1043">
    <w:name w:val="TOC Heading"/>
    <w:uiPriority w:val="39"/>
    <w:unhideWhenUsed/>
  </w:style>
  <w:style w:type="paragraph" w:styleId="1044">
    <w:name w:val="table of figures"/>
    <w:basedOn w:val="1046"/>
    <w:next w:val="1046"/>
    <w:uiPriority w:val="99"/>
    <w:unhideWhenUsed/>
    <w:pPr>
      <w:spacing w:after="0" w:afterAutospacing="0"/>
    </w:pPr>
  </w:style>
  <w:style w:type="paragraph" w:styleId="1045" w:default="1">
    <w:name w:val="Normal"/>
    <w:link w:val="1046"/>
    <w:uiPriority w:val="0"/>
    <w:qFormat/>
  </w:style>
  <w:style w:type="character" w:styleId="1046" w:default="1">
    <w:name w:val="Normal"/>
    <w:link w:val="1045"/>
  </w:style>
  <w:style w:type="paragraph" w:styleId="1047">
    <w:name w:val="Font Style11"/>
    <w:link w:val="1048"/>
    <w:rPr>
      <w:rFonts w:ascii="Times New Roman" w:hAnsi="Times New Roman"/>
      <w:b/>
      <w:sz w:val="20"/>
    </w:rPr>
  </w:style>
  <w:style w:type="character" w:styleId="1048">
    <w:name w:val="Font Style11"/>
    <w:link w:val="1047"/>
    <w:rPr>
      <w:rFonts w:ascii="Times New Roman" w:hAnsi="Times New Roman"/>
      <w:b/>
      <w:sz w:val="20"/>
    </w:rPr>
  </w:style>
  <w:style w:type="paragraph" w:styleId="1049">
    <w:name w:val="toc 2"/>
    <w:next w:val="1045"/>
    <w:link w:val="105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1050">
    <w:name w:val="toc 2"/>
    <w:link w:val="1049"/>
    <w:rPr>
      <w:rFonts w:ascii="XO Thames" w:hAnsi="XO Thames"/>
      <w:sz w:val="28"/>
    </w:rPr>
  </w:style>
  <w:style w:type="paragraph" w:styleId="1051">
    <w:name w:val="Знак Знак1 Знак Знак Знак Знак Знак Знак Знак Знак"/>
    <w:basedOn w:val="1045"/>
    <w:link w:val="1052"/>
    <w:pPr>
      <w:spacing w:line="240" w:lineRule="exact"/>
    </w:pPr>
    <w:rPr>
      <w:rFonts w:ascii="Times New Roman" w:hAnsi="Times New Roman"/>
      <w:sz w:val="24"/>
    </w:rPr>
  </w:style>
  <w:style w:type="character" w:styleId="1052">
    <w:name w:val="Знак Знак1 Знак Знак Знак Знак Знак Знак Знак Знак"/>
    <w:basedOn w:val="1046"/>
    <w:link w:val="1051"/>
    <w:rPr>
      <w:rFonts w:ascii="Times New Roman" w:hAnsi="Times New Roman"/>
      <w:sz w:val="24"/>
    </w:rPr>
  </w:style>
  <w:style w:type="paragraph" w:styleId="1053">
    <w:name w:val="toc 4"/>
    <w:next w:val="1045"/>
    <w:link w:val="1054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1054">
    <w:name w:val="toc 4"/>
    <w:link w:val="1053"/>
    <w:rPr>
      <w:rFonts w:ascii="XO Thames" w:hAnsi="XO Thames"/>
      <w:sz w:val="28"/>
    </w:rPr>
  </w:style>
  <w:style w:type="paragraph" w:styleId="1055">
    <w:name w:val="toc 6"/>
    <w:next w:val="1045"/>
    <w:link w:val="105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1056">
    <w:name w:val="toc 6"/>
    <w:link w:val="1055"/>
    <w:rPr>
      <w:rFonts w:ascii="XO Thames" w:hAnsi="XO Thames"/>
      <w:sz w:val="28"/>
    </w:rPr>
  </w:style>
  <w:style w:type="paragraph" w:styleId="1057">
    <w:name w:val="toc 7"/>
    <w:next w:val="1045"/>
    <w:link w:val="105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1058">
    <w:name w:val="toc 7"/>
    <w:link w:val="1057"/>
    <w:rPr>
      <w:rFonts w:ascii="XO Thames" w:hAnsi="XO Thames"/>
      <w:sz w:val="28"/>
    </w:rPr>
  </w:style>
  <w:style w:type="paragraph" w:styleId="1059">
    <w:name w:val="Знак Знак1 Знак Знак Знак Знак Знак Знак Знак Знак"/>
    <w:basedOn w:val="1045"/>
    <w:link w:val="1060"/>
    <w:pPr>
      <w:spacing w:line="240" w:lineRule="exact"/>
    </w:pPr>
    <w:rPr>
      <w:rFonts w:ascii="Times New Roman" w:hAnsi="Times New Roman"/>
      <w:sz w:val="24"/>
    </w:rPr>
  </w:style>
  <w:style w:type="character" w:styleId="1060">
    <w:name w:val="Знак Знак1 Знак Знак Знак Знак Знак Знак Знак Знак"/>
    <w:basedOn w:val="1046"/>
    <w:link w:val="1059"/>
    <w:rPr>
      <w:rFonts w:ascii="Times New Roman" w:hAnsi="Times New Roman"/>
      <w:sz w:val="24"/>
    </w:rPr>
  </w:style>
  <w:style w:type="paragraph" w:styleId="1061">
    <w:name w:val="footnote reference"/>
    <w:basedOn w:val="1131"/>
    <w:link w:val="1062"/>
    <w:rPr>
      <w:vertAlign w:val="superscript"/>
    </w:rPr>
  </w:style>
  <w:style w:type="character" w:styleId="1062">
    <w:name w:val="footnote reference"/>
    <w:basedOn w:val="1132"/>
    <w:link w:val="1061"/>
    <w:rPr>
      <w:vertAlign w:val="superscript"/>
    </w:rPr>
  </w:style>
  <w:style w:type="paragraph" w:styleId="1063">
    <w:name w:val="Style5"/>
    <w:basedOn w:val="1045"/>
    <w:link w:val="1064"/>
    <w:pPr>
      <w:ind w:left="0" w:firstLine="168"/>
      <w:jc w:val="both"/>
      <w:spacing w:after="0" w:line="290" w:lineRule="exact"/>
      <w:widowControl w:val="off"/>
    </w:pPr>
    <w:rPr>
      <w:rFonts w:ascii="Calibri" w:hAnsi="Calibri"/>
      <w:sz w:val="24"/>
    </w:rPr>
  </w:style>
  <w:style w:type="character" w:styleId="1064">
    <w:name w:val="Style5"/>
    <w:basedOn w:val="1046"/>
    <w:link w:val="1063"/>
    <w:rPr>
      <w:rFonts w:ascii="Calibri" w:hAnsi="Calibri"/>
      <w:sz w:val="24"/>
    </w:rPr>
  </w:style>
  <w:style w:type="paragraph" w:styleId="1065">
    <w:name w:val="Знак Знак1 Знак Знак Знак Знак Знак Знак Знак Знак"/>
    <w:basedOn w:val="1045"/>
    <w:link w:val="1066"/>
    <w:pPr>
      <w:spacing w:line="240" w:lineRule="exact"/>
    </w:pPr>
    <w:rPr>
      <w:rFonts w:ascii="Times New Roman" w:hAnsi="Times New Roman"/>
      <w:sz w:val="24"/>
    </w:rPr>
  </w:style>
  <w:style w:type="character" w:styleId="1066">
    <w:name w:val="Знак Знак1 Знак Знак Знак Знак Знак Знак Знак Знак"/>
    <w:basedOn w:val="1046"/>
    <w:link w:val="1065"/>
    <w:rPr>
      <w:rFonts w:ascii="Times New Roman" w:hAnsi="Times New Roman"/>
      <w:sz w:val="24"/>
    </w:rPr>
  </w:style>
  <w:style w:type="paragraph" w:styleId="1067">
    <w:name w:val="Endnote"/>
    <w:basedOn w:val="1045"/>
    <w:link w:val="1068"/>
    <w:pPr>
      <w:spacing w:after="0" w:line="240" w:lineRule="auto"/>
    </w:pPr>
    <w:rPr>
      <w:sz w:val="20"/>
    </w:rPr>
  </w:style>
  <w:style w:type="character" w:styleId="1068">
    <w:name w:val="Endnote"/>
    <w:basedOn w:val="1046"/>
    <w:link w:val="1067"/>
    <w:rPr>
      <w:sz w:val="20"/>
    </w:rPr>
  </w:style>
  <w:style w:type="paragraph" w:styleId="1069">
    <w:name w:val="Heading 3"/>
    <w:next w:val="1045"/>
    <w:link w:val="107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1070">
    <w:name w:val="Heading 3"/>
    <w:link w:val="1069"/>
    <w:rPr>
      <w:rFonts w:ascii="XO Thames" w:hAnsi="XO Thames"/>
      <w:b/>
      <w:sz w:val="26"/>
    </w:rPr>
  </w:style>
  <w:style w:type="paragraph" w:styleId="1071">
    <w:name w:val="Body Text Indent 3"/>
    <w:basedOn w:val="1045"/>
    <w:link w:val="1072"/>
    <w:pPr>
      <w:ind w:left="283" w:firstLine="0"/>
      <w:spacing w:after="120"/>
    </w:pPr>
    <w:rPr>
      <w:sz w:val="16"/>
    </w:rPr>
  </w:style>
  <w:style w:type="character" w:styleId="1072">
    <w:name w:val="Body Text Indent 3"/>
    <w:basedOn w:val="1046"/>
    <w:link w:val="1071"/>
    <w:rPr>
      <w:sz w:val="16"/>
    </w:rPr>
  </w:style>
  <w:style w:type="paragraph" w:styleId="1073">
    <w:name w:val="Знак Знак1 Знак Знак Знак Знак Знак Знак Знак Знак"/>
    <w:basedOn w:val="1045"/>
    <w:link w:val="1074"/>
    <w:pPr>
      <w:spacing w:line="240" w:lineRule="exact"/>
    </w:pPr>
    <w:rPr>
      <w:rFonts w:ascii="Times New Roman" w:hAnsi="Times New Roman"/>
      <w:sz w:val="24"/>
    </w:rPr>
  </w:style>
  <w:style w:type="character" w:styleId="1074">
    <w:name w:val="Знак Знак1 Знак Знак Знак Знак Знак Знак Знак Знак"/>
    <w:basedOn w:val="1046"/>
    <w:link w:val="1073"/>
    <w:rPr>
      <w:rFonts w:ascii="Times New Roman" w:hAnsi="Times New Roman"/>
      <w:sz w:val="24"/>
    </w:rPr>
  </w:style>
  <w:style w:type="paragraph" w:styleId="1075">
    <w:name w:val="Normal (Web)"/>
    <w:basedOn w:val="1045"/>
    <w:link w:val="1076"/>
    <w:pPr>
      <w:spacing w:after="0" w:line="240" w:lineRule="auto"/>
    </w:pPr>
    <w:rPr>
      <w:rFonts w:ascii="Times New Roman" w:hAnsi="Times New Roman"/>
      <w:sz w:val="24"/>
    </w:rPr>
  </w:style>
  <w:style w:type="character" w:styleId="1076">
    <w:name w:val="Normal (Web)"/>
    <w:basedOn w:val="1046"/>
    <w:link w:val="1075"/>
    <w:rPr>
      <w:rFonts w:ascii="Times New Roman" w:hAnsi="Times New Roman"/>
      <w:sz w:val="24"/>
    </w:rPr>
  </w:style>
  <w:style w:type="paragraph" w:styleId="1077">
    <w:name w:val="Знак Знак1 Знак Знак Знак Знак Знак Знак Знак Знак"/>
    <w:basedOn w:val="1045"/>
    <w:link w:val="1078"/>
    <w:pPr>
      <w:spacing w:line="240" w:lineRule="exact"/>
    </w:pPr>
    <w:rPr>
      <w:rFonts w:ascii="Times New Roman" w:hAnsi="Times New Roman"/>
      <w:sz w:val="24"/>
    </w:rPr>
  </w:style>
  <w:style w:type="character" w:styleId="1078">
    <w:name w:val="Знак Знак1 Знак Знак Знак Знак Знак Знак Знак Знак"/>
    <w:basedOn w:val="1046"/>
    <w:link w:val="1077"/>
    <w:rPr>
      <w:rFonts w:ascii="Times New Roman" w:hAnsi="Times New Roman"/>
      <w:sz w:val="24"/>
    </w:rPr>
  </w:style>
  <w:style w:type="paragraph" w:styleId="1079">
    <w:name w:val="Знак Знак1 Знак Знак Знак Знак Знак Знак Знак Знак"/>
    <w:basedOn w:val="1045"/>
    <w:link w:val="1080"/>
    <w:pPr>
      <w:spacing w:line="240" w:lineRule="exact"/>
    </w:pPr>
    <w:rPr>
      <w:rFonts w:ascii="Times New Roman" w:hAnsi="Times New Roman"/>
      <w:sz w:val="24"/>
    </w:rPr>
  </w:style>
  <w:style w:type="character" w:styleId="1080">
    <w:name w:val="Знак Знак1 Знак Знак Знак Знак Знак Знак Знак Знак"/>
    <w:basedOn w:val="1046"/>
    <w:link w:val="1079"/>
    <w:rPr>
      <w:rFonts w:ascii="Times New Roman" w:hAnsi="Times New Roman"/>
      <w:sz w:val="24"/>
    </w:rPr>
  </w:style>
  <w:style w:type="paragraph" w:styleId="1081">
    <w:name w:val="No Spacing"/>
    <w:link w:val="1082"/>
    <w:pPr>
      <w:spacing w:after="0" w:line="240" w:lineRule="auto"/>
    </w:pPr>
    <w:rPr>
      <w:rFonts w:ascii="Calibri" w:hAnsi="Calibri"/>
    </w:rPr>
  </w:style>
  <w:style w:type="character" w:styleId="1082">
    <w:name w:val="No Spacing"/>
    <w:link w:val="1081"/>
    <w:rPr>
      <w:rFonts w:ascii="Calibri" w:hAnsi="Calibri"/>
    </w:rPr>
  </w:style>
  <w:style w:type="paragraph" w:styleId="1083">
    <w:name w:val="Знак Знак1 Знак Знак Знак Знак Знак Знак Знак Знак"/>
    <w:basedOn w:val="1045"/>
    <w:link w:val="1084"/>
    <w:pPr>
      <w:spacing w:line="240" w:lineRule="exact"/>
    </w:pPr>
    <w:rPr>
      <w:rFonts w:ascii="Times New Roman" w:hAnsi="Times New Roman"/>
      <w:sz w:val="24"/>
    </w:rPr>
  </w:style>
  <w:style w:type="character" w:styleId="1084">
    <w:name w:val="Знак Знак1 Знак Знак Знак Знак Знак Знак Знак Знак"/>
    <w:basedOn w:val="1046"/>
    <w:link w:val="1083"/>
    <w:rPr>
      <w:rFonts w:ascii="Times New Roman" w:hAnsi="Times New Roman"/>
      <w:sz w:val="24"/>
    </w:rPr>
  </w:style>
  <w:style w:type="paragraph" w:styleId="1085">
    <w:name w:val="Знак Знак1 Знак Знак Знак Знак Знак Знак Знак Знак"/>
    <w:basedOn w:val="1045"/>
    <w:link w:val="1086"/>
    <w:pPr>
      <w:spacing w:line="240" w:lineRule="exact"/>
    </w:pPr>
    <w:rPr>
      <w:rFonts w:ascii="Times New Roman" w:hAnsi="Times New Roman"/>
      <w:sz w:val="24"/>
    </w:rPr>
  </w:style>
  <w:style w:type="character" w:styleId="1086">
    <w:name w:val="Знак Знак1 Знак Знак Знак Знак Знак Знак Знак Знак"/>
    <w:basedOn w:val="1046"/>
    <w:link w:val="1085"/>
    <w:rPr>
      <w:rFonts w:ascii="Times New Roman" w:hAnsi="Times New Roman"/>
      <w:sz w:val="24"/>
    </w:rPr>
  </w:style>
  <w:style w:type="paragraph" w:styleId="1087">
    <w:name w:val="Header"/>
    <w:basedOn w:val="1045"/>
    <w:link w:val="108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88">
    <w:name w:val="Header"/>
    <w:basedOn w:val="1046"/>
    <w:link w:val="1087"/>
  </w:style>
  <w:style w:type="paragraph" w:styleId="1089">
    <w:name w:val="Знак Знак1 Знак Знак Знак Знак Знак Знак Знак Знак"/>
    <w:basedOn w:val="1045"/>
    <w:link w:val="1090"/>
    <w:pPr>
      <w:spacing w:line="240" w:lineRule="exact"/>
    </w:pPr>
    <w:rPr>
      <w:rFonts w:ascii="Times New Roman" w:hAnsi="Times New Roman"/>
      <w:sz w:val="24"/>
    </w:rPr>
  </w:style>
  <w:style w:type="character" w:styleId="1090">
    <w:name w:val="Знак Знак1 Знак Знак Знак Знак Знак Знак Знак Знак"/>
    <w:basedOn w:val="1046"/>
    <w:link w:val="1089"/>
    <w:rPr>
      <w:rFonts w:ascii="Times New Roman" w:hAnsi="Times New Roman"/>
      <w:sz w:val="24"/>
    </w:rPr>
  </w:style>
  <w:style w:type="paragraph" w:styleId="1091">
    <w:name w:val="Знак Знак1 Знак Знак Знак Знак Знак Знак Знак Знак"/>
    <w:basedOn w:val="1045"/>
    <w:link w:val="1092"/>
    <w:pPr>
      <w:spacing w:line="240" w:lineRule="exact"/>
    </w:pPr>
    <w:rPr>
      <w:rFonts w:ascii="Times New Roman" w:hAnsi="Times New Roman"/>
      <w:sz w:val="24"/>
    </w:rPr>
  </w:style>
  <w:style w:type="character" w:styleId="1092">
    <w:name w:val="Знак Знак1 Знак Знак Знак Знак Знак Знак Знак Знак"/>
    <w:basedOn w:val="1046"/>
    <w:link w:val="1091"/>
    <w:rPr>
      <w:rFonts w:ascii="Times New Roman" w:hAnsi="Times New Roman"/>
      <w:sz w:val="24"/>
    </w:rPr>
  </w:style>
  <w:style w:type="paragraph" w:styleId="1093">
    <w:name w:val="Знак Знак1 Знак Знак Знак Знак Знак Знак Знак Знак"/>
    <w:basedOn w:val="1045"/>
    <w:link w:val="1094"/>
    <w:pPr>
      <w:spacing w:line="240" w:lineRule="exact"/>
    </w:pPr>
    <w:rPr>
      <w:rFonts w:ascii="Times New Roman" w:hAnsi="Times New Roman"/>
      <w:sz w:val="24"/>
    </w:rPr>
  </w:style>
  <w:style w:type="character" w:styleId="1094">
    <w:name w:val="Знак Знак1 Знак Знак Знак Знак Знак Знак Знак Знак"/>
    <w:basedOn w:val="1046"/>
    <w:link w:val="1093"/>
    <w:rPr>
      <w:rFonts w:ascii="Times New Roman" w:hAnsi="Times New Roman"/>
      <w:sz w:val="24"/>
    </w:rPr>
  </w:style>
  <w:style w:type="paragraph" w:styleId="1095">
    <w:name w:val="ConsPlusNormal"/>
    <w:link w:val="1096"/>
    <w:pPr>
      <w:spacing w:after="0" w:line="240" w:lineRule="auto"/>
    </w:pPr>
    <w:rPr>
      <w:rFonts w:ascii="Arial" w:hAnsi="Arial"/>
      <w:sz w:val="20"/>
    </w:rPr>
  </w:style>
  <w:style w:type="character" w:styleId="1096">
    <w:name w:val="ConsPlusNormal"/>
    <w:link w:val="1095"/>
    <w:rPr>
      <w:rFonts w:ascii="Arial" w:hAnsi="Arial"/>
      <w:sz w:val="20"/>
    </w:rPr>
  </w:style>
  <w:style w:type="paragraph" w:styleId="1097">
    <w:name w:val="Знак Знак1 Знак Знак Знак Знак Знак Знак Знак Знак"/>
    <w:basedOn w:val="1045"/>
    <w:link w:val="1098"/>
    <w:pPr>
      <w:spacing w:line="240" w:lineRule="exact"/>
    </w:pPr>
    <w:rPr>
      <w:rFonts w:ascii="Times New Roman" w:hAnsi="Times New Roman"/>
      <w:sz w:val="24"/>
    </w:rPr>
  </w:style>
  <w:style w:type="character" w:styleId="1098">
    <w:name w:val="Знак Знак1 Знак Знак Знак Знак Знак Знак Знак Знак"/>
    <w:basedOn w:val="1046"/>
    <w:link w:val="1097"/>
    <w:rPr>
      <w:rFonts w:ascii="Times New Roman" w:hAnsi="Times New Roman"/>
      <w:sz w:val="24"/>
    </w:rPr>
  </w:style>
  <w:style w:type="paragraph" w:styleId="1099">
    <w:name w:val="Основной текст + Интервал 0 pt"/>
    <w:basedOn w:val="1159"/>
    <w:link w:val="1100"/>
    <w:rPr>
      <w:rFonts w:ascii="Times New Roman" w:hAnsi="Times New Roman"/>
      <w:color w:val="000000"/>
      <w:spacing w:val="4"/>
      <w:sz w:val="25"/>
      <w:highlight w:val="white"/>
    </w:rPr>
  </w:style>
  <w:style w:type="character" w:styleId="1100">
    <w:name w:val="Основной текст + Интервал 0 pt"/>
    <w:basedOn w:val="1160"/>
    <w:link w:val="1099"/>
    <w:rPr>
      <w:rFonts w:ascii="Times New Roman" w:hAnsi="Times New Roman"/>
      <w:color w:val="000000"/>
      <w:spacing w:val="4"/>
      <w:sz w:val="25"/>
      <w:highlight w:val="white"/>
    </w:rPr>
  </w:style>
  <w:style w:type="paragraph" w:styleId="1101">
    <w:name w:val="toc 3"/>
    <w:next w:val="1045"/>
    <w:link w:val="110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1102">
    <w:name w:val="toc 3"/>
    <w:link w:val="1101"/>
    <w:rPr>
      <w:rFonts w:ascii="XO Thames" w:hAnsi="XO Thames"/>
      <w:sz w:val="28"/>
    </w:rPr>
  </w:style>
  <w:style w:type="paragraph" w:styleId="1103">
    <w:name w:val="Знак Знак1 Знак Знак Знак Знак Знак Знак Знак Знак"/>
    <w:basedOn w:val="1045"/>
    <w:link w:val="1104"/>
    <w:pPr>
      <w:spacing w:line="240" w:lineRule="exact"/>
    </w:pPr>
    <w:rPr>
      <w:rFonts w:ascii="Times New Roman" w:hAnsi="Times New Roman"/>
      <w:sz w:val="24"/>
    </w:rPr>
  </w:style>
  <w:style w:type="character" w:styleId="1104">
    <w:name w:val="Знак Знак1 Знак Знак Знак Знак Знак Знак Знак Знак"/>
    <w:basedOn w:val="1046"/>
    <w:link w:val="1103"/>
    <w:rPr>
      <w:rFonts w:ascii="Times New Roman" w:hAnsi="Times New Roman"/>
      <w:sz w:val="24"/>
    </w:rPr>
  </w:style>
  <w:style w:type="paragraph" w:styleId="1105">
    <w:name w:val="Знак Знак1 Знак Знак Знак Знак Знак Знак Знак Знак"/>
    <w:basedOn w:val="1045"/>
    <w:link w:val="1106"/>
    <w:pPr>
      <w:spacing w:line="240" w:lineRule="exact"/>
    </w:pPr>
    <w:rPr>
      <w:rFonts w:ascii="Times New Roman" w:hAnsi="Times New Roman"/>
      <w:sz w:val="24"/>
    </w:rPr>
  </w:style>
  <w:style w:type="character" w:styleId="1106">
    <w:name w:val="Знак Знак1 Знак Знак Знак Знак Знак Знак Знак Знак"/>
    <w:basedOn w:val="1046"/>
    <w:link w:val="1105"/>
    <w:rPr>
      <w:rFonts w:ascii="Times New Roman" w:hAnsi="Times New Roman"/>
      <w:sz w:val="24"/>
    </w:rPr>
  </w:style>
  <w:style w:type="paragraph" w:styleId="1107">
    <w:name w:val="Знак Знак1 Знак Знак Знак Знак Знак Знак Знак Знак"/>
    <w:basedOn w:val="1045"/>
    <w:link w:val="1108"/>
    <w:pPr>
      <w:spacing w:line="240" w:lineRule="exact"/>
    </w:pPr>
    <w:rPr>
      <w:rFonts w:ascii="Times New Roman" w:hAnsi="Times New Roman"/>
      <w:sz w:val="24"/>
    </w:rPr>
  </w:style>
  <w:style w:type="character" w:styleId="1108">
    <w:name w:val="Знак Знак1 Знак Знак Знак Знак Знак Знак Знак Знак"/>
    <w:basedOn w:val="1046"/>
    <w:link w:val="1107"/>
    <w:rPr>
      <w:rFonts w:ascii="Times New Roman" w:hAnsi="Times New Roman"/>
      <w:sz w:val="24"/>
    </w:rPr>
  </w:style>
  <w:style w:type="paragraph" w:styleId="1109">
    <w:name w:val="extended-text__full"/>
    <w:basedOn w:val="1131"/>
    <w:link w:val="1110"/>
  </w:style>
  <w:style w:type="character" w:styleId="1110">
    <w:name w:val="extended-text__full"/>
    <w:basedOn w:val="1132"/>
    <w:link w:val="1109"/>
  </w:style>
  <w:style w:type="paragraph" w:styleId="1111">
    <w:name w:val="Heading 5"/>
    <w:next w:val="1045"/>
    <w:link w:val="1112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1112">
    <w:name w:val="Heading 5"/>
    <w:link w:val="1111"/>
    <w:rPr>
      <w:rFonts w:ascii="XO Thames" w:hAnsi="XO Thames"/>
      <w:b/>
      <w:sz w:val="22"/>
    </w:rPr>
  </w:style>
  <w:style w:type="paragraph" w:styleId="1113">
    <w:name w:val="Style1"/>
    <w:basedOn w:val="1045"/>
    <w:link w:val="1114"/>
    <w:pPr>
      <w:ind w:left="0" w:firstLine="547"/>
      <w:jc w:val="both"/>
      <w:spacing w:after="0" w:line="274" w:lineRule="exact"/>
      <w:widowControl w:val="off"/>
    </w:pPr>
    <w:rPr>
      <w:rFonts w:ascii="Calibri" w:hAnsi="Calibri"/>
      <w:sz w:val="24"/>
    </w:rPr>
  </w:style>
  <w:style w:type="character" w:styleId="1114">
    <w:name w:val="Style1"/>
    <w:basedOn w:val="1046"/>
    <w:link w:val="1113"/>
    <w:rPr>
      <w:rFonts w:ascii="Calibri" w:hAnsi="Calibri"/>
      <w:sz w:val="24"/>
    </w:rPr>
  </w:style>
  <w:style w:type="paragraph" w:styleId="1115">
    <w:name w:val="Знак Знак1 Знак Знак Знак Знак Знак Знак Знак Знак"/>
    <w:basedOn w:val="1045"/>
    <w:link w:val="1116"/>
    <w:pPr>
      <w:spacing w:line="240" w:lineRule="exact"/>
    </w:pPr>
    <w:rPr>
      <w:rFonts w:ascii="Times New Roman" w:hAnsi="Times New Roman"/>
      <w:sz w:val="24"/>
    </w:rPr>
  </w:style>
  <w:style w:type="character" w:styleId="1116">
    <w:name w:val="Знак Знак1 Знак Знак Знак Знак Знак Знак Знак Знак"/>
    <w:basedOn w:val="1046"/>
    <w:link w:val="1115"/>
    <w:rPr>
      <w:rFonts w:ascii="Times New Roman" w:hAnsi="Times New Roman"/>
      <w:sz w:val="24"/>
    </w:rPr>
  </w:style>
  <w:style w:type="paragraph" w:styleId="1117">
    <w:name w:val="Heading 1"/>
    <w:basedOn w:val="1045"/>
    <w:next w:val="1045"/>
    <w:link w:val="1118"/>
    <w:uiPriority w:val="9"/>
    <w:qFormat/>
    <w:pPr>
      <w:keepLines/>
      <w:keepNext/>
      <w:spacing w:before="480" w:after="0"/>
      <w:outlineLvl w:val="0"/>
    </w:pPr>
    <w:rPr>
      <w:rFonts w:asciiTheme="majorAscii" w:hAnsiTheme="majorHAnsi"/>
      <w:b/>
      <w:color w:val="376092" w:themeColor="accent1" w:themeShade="BF"/>
      <w:sz w:val="28"/>
    </w:rPr>
  </w:style>
  <w:style w:type="character" w:styleId="1118">
    <w:name w:val="Heading 1"/>
    <w:basedOn w:val="1046"/>
    <w:link w:val="1117"/>
    <w:rPr>
      <w:rFonts w:asciiTheme="majorAscii" w:hAnsiTheme="majorHAnsi"/>
      <w:b/>
      <w:color w:val="376092" w:themeColor="accent1" w:themeShade="BF"/>
      <w:sz w:val="28"/>
    </w:rPr>
  </w:style>
  <w:style w:type="paragraph" w:styleId="1119">
    <w:name w:val="Знак Знак1 Знак Знак Знак Знак Знак Знак Знак Знак"/>
    <w:basedOn w:val="1045"/>
    <w:link w:val="1120"/>
    <w:pPr>
      <w:spacing w:line="240" w:lineRule="exact"/>
    </w:pPr>
    <w:rPr>
      <w:rFonts w:ascii="Times New Roman" w:hAnsi="Times New Roman"/>
      <w:sz w:val="24"/>
    </w:rPr>
  </w:style>
  <w:style w:type="character" w:styleId="1120">
    <w:name w:val="Знак Знак1 Знак Знак Знак Знак Знак Знак Знак Знак"/>
    <w:basedOn w:val="1046"/>
    <w:link w:val="1119"/>
    <w:rPr>
      <w:rFonts w:ascii="Times New Roman" w:hAnsi="Times New Roman"/>
      <w:sz w:val="24"/>
    </w:rPr>
  </w:style>
  <w:style w:type="paragraph" w:styleId="1121">
    <w:name w:val="Hyperlink"/>
    <w:basedOn w:val="1131"/>
    <w:link w:val="1122"/>
    <w:rPr>
      <w:color w:val="0000ff" w:themeColor="hyperlink"/>
      <w:u w:val="single"/>
    </w:rPr>
  </w:style>
  <w:style w:type="character" w:styleId="1122">
    <w:name w:val="Hyperlink"/>
    <w:basedOn w:val="1132"/>
    <w:link w:val="1121"/>
    <w:rPr>
      <w:color w:val="0000ff" w:themeColor="hyperlink"/>
      <w:u w:val="single"/>
    </w:rPr>
  </w:style>
  <w:style w:type="paragraph" w:styleId="1123">
    <w:name w:val="Footnote"/>
    <w:basedOn w:val="1045"/>
    <w:link w:val="1124"/>
    <w:pPr>
      <w:spacing w:after="0" w:line="240" w:lineRule="auto"/>
    </w:pPr>
    <w:rPr>
      <w:sz w:val="20"/>
    </w:rPr>
  </w:style>
  <w:style w:type="character" w:styleId="1124">
    <w:name w:val="Footnote"/>
    <w:basedOn w:val="1046"/>
    <w:link w:val="1123"/>
    <w:rPr>
      <w:sz w:val="20"/>
    </w:rPr>
  </w:style>
  <w:style w:type="paragraph" w:styleId="1125">
    <w:name w:val="Знак Знак1 Знак Знак Знак Знак Знак Знак Знак Знак"/>
    <w:basedOn w:val="1045"/>
    <w:link w:val="1126"/>
    <w:pPr>
      <w:spacing w:line="240" w:lineRule="exact"/>
    </w:pPr>
    <w:rPr>
      <w:rFonts w:ascii="Times New Roman" w:hAnsi="Times New Roman"/>
      <w:sz w:val="24"/>
    </w:rPr>
  </w:style>
  <w:style w:type="character" w:styleId="1126">
    <w:name w:val="Знак Знак1 Знак Знак Знак Знак Знак Знак Знак Знак"/>
    <w:basedOn w:val="1046"/>
    <w:link w:val="1125"/>
    <w:rPr>
      <w:rFonts w:ascii="Times New Roman" w:hAnsi="Times New Roman"/>
      <w:sz w:val="24"/>
    </w:rPr>
  </w:style>
  <w:style w:type="paragraph" w:styleId="1127">
    <w:name w:val="Знак Знак1 Знак Знак Знак Знак Знак Знак Знак Знак"/>
    <w:basedOn w:val="1045"/>
    <w:link w:val="1128"/>
    <w:pPr>
      <w:spacing w:line="240" w:lineRule="exact"/>
    </w:pPr>
    <w:rPr>
      <w:rFonts w:ascii="Times New Roman" w:hAnsi="Times New Roman"/>
      <w:sz w:val="24"/>
    </w:rPr>
  </w:style>
  <w:style w:type="character" w:styleId="1128">
    <w:name w:val="Знак Знак1 Знак Знак Знак Знак Знак Знак Знак Знак"/>
    <w:basedOn w:val="1046"/>
    <w:link w:val="1127"/>
    <w:rPr>
      <w:rFonts w:ascii="Times New Roman" w:hAnsi="Times New Roman"/>
      <w:sz w:val="24"/>
    </w:rPr>
  </w:style>
  <w:style w:type="paragraph" w:styleId="1129">
    <w:name w:val="toc 1"/>
    <w:next w:val="1045"/>
    <w:link w:val="1130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1130">
    <w:name w:val="toc 1"/>
    <w:link w:val="1129"/>
    <w:rPr>
      <w:rFonts w:ascii="XO Thames" w:hAnsi="XO Thames"/>
      <w:b/>
      <w:sz w:val="28"/>
    </w:rPr>
  </w:style>
  <w:style w:type="paragraph" w:styleId="1131">
    <w:name w:val="Default Paragraph Font"/>
    <w:link w:val="1132"/>
  </w:style>
  <w:style w:type="character" w:styleId="1132">
    <w:name w:val="Default Paragraph Font"/>
    <w:link w:val="1131"/>
  </w:style>
  <w:style w:type="paragraph" w:styleId="1133">
    <w:name w:val="Знак Знак1 Знак Знак Знак Знак Знак Знак Знак Знак"/>
    <w:basedOn w:val="1045"/>
    <w:link w:val="1134"/>
    <w:pPr>
      <w:spacing w:line="240" w:lineRule="exact"/>
    </w:pPr>
    <w:rPr>
      <w:rFonts w:ascii="Times New Roman" w:hAnsi="Times New Roman"/>
      <w:sz w:val="24"/>
    </w:rPr>
  </w:style>
  <w:style w:type="character" w:styleId="1134">
    <w:name w:val="Знак Знак1 Знак Знак Знак Знак Знак Знак Знак Знак"/>
    <w:basedOn w:val="1046"/>
    <w:link w:val="1133"/>
    <w:rPr>
      <w:rFonts w:ascii="Times New Roman" w:hAnsi="Times New Roman"/>
      <w:sz w:val="24"/>
    </w:rPr>
  </w:style>
  <w:style w:type="paragraph" w:styleId="1135">
    <w:name w:val="Header and Footer"/>
    <w:link w:val="1136"/>
    <w:pPr>
      <w:jc w:val="both"/>
      <w:spacing w:line="240" w:lineRule="auto"/>
    </w:pPr>
    <w:rPr>
      <w:rFonts w:ascii="XO Thames" w:hAnsi="XO Thames"/>
      <w:sz w:val="28"/>
    </w:rPr>
  </w:style>
  <w:style w:type="character" w:styleId="1136">
    <w:name w:val="Header and Footer"/>
    <w:link w:val="1135"/>
    <w:rPr>
      <w:rFonts w:ascii="XO Thames" w:hAnsi="XO Thames"/>
      <w:sz w:val="28"/>
    </w:rPr>
  </w:style>
  <w:style w:type="paragraph" w:styleId="1137">
    <w:name w:val="Знак Знак1 Знак Знак Знак Знак Знак Знак Знак Знак"/>
    <w:basedOn w:val="1045"/>
    <w:link w:val="1138"/>
    <w:pPr>
      <w:spacing w:line="240" w:lineRule="exact"/>
    </w:pPr>
    <w:rPr>
      <w:rFonts w:ascii="Times New Roman" w:hAnsi="Times New Roman"/>
      <w:sz w:val="24"/>
    </w:rPr>
  </w:style>
  <w:style w:type="character" w:styleId="1138">
    <w:name w:val="Знак Знак1 Знак Знак Знак Знак Знак Знак Знак Знак"/>
    <w:basedOn w:val="1046"/>
    <w:link w:val="1137"/>
    <w:rPr>
      <w:rFonts w:ascii="Times New Roman" w:hAnsi="Times New Roman"/>
      <w:sz w:val="24"/>
    </w:rPr>
  </w:style>
  <w:style w:type="paragraph" w:styleId="1139">
    <w:name w:val="Знак Знак1 Знак Знак Знак Знак Знак Знак Знак Знак"/>
    <w:basedOn w:val="1045"/>
    <w:link w:val="1140"/>
    <w:pPr>
      <w:spacing w:line="240" w:lineRule="exact"/>
    </w:pPr>
    <w:rPr>
      <w:rFonts w:ascii="Times New Roman" w:hAnsi="Times New Roman"/>
      <w:sz w:val="24"/>
    </w:rPr>
  </w:style>
  <w:style w:type="character" w:styleId="1140">
    <w:name w:val="Знак Знак1 Знак Знак Знак Знак Знак Знак Знак Знак"/>
    <w:basedOn w:val="1046"/>
    <w:link w:val="1139"/>
    <w:rPr>
      <w:rFonts w:ascii="Times New Roman" w:hAnsi="Times New Roman"/>
      <w:sz w:val="24"/>
    </w:rPr>
  </w:style>
  <w:style w:type="paragraph" w:styleId="1141">
    <w:name w:val="Знак Знак1 Знак Знак Знак Знак Знак Знак Знак Знак"/>
    <w:basedOn w:val="1045"/>
    <w:link w:val="1142"/>
    <w:pPr>
      <w:spacing w:line="240" w:lineRule="exact"/>
    </w:pPr>
    <w:rPr>
      <w:rFonts w:ascii="Times New Roman" w:hAnsi="Times New Roman"/>
      <w:sz w:val="24"/>
    </w:rPr>
  </w:style>
  <w:style w:type="character" w:styleId="1142">
    <w:name w:val="Знак Знак1 Знак Знак Знак Знак Знак Знак Знак Знак"/>
    <w:basedOn w:val="1046"/>
    <w:link w:val="1141"/>
    <w:rPr>
      <w:rFonts w:ascii="Times New Roman" w:hAnsi="Times New Roman"/>
      <w:sz w:val="24"/>
    </w:rPr>
  </w:style>
  <w:style w:type="paragraph" w:styleId="1143">
    <w:name w:val="toc 9"/>
    <w:next w:val="1045"/>
    <w:link w:val="1144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1144">
    <w:name w:val="toc 9"/>
    <w:link w:val="1143"/>
    <w:rPr>
      <w:rFonts w:ascii="XO Thames" w:hAnsi="XO Thames"/>
      <w:sz w:val="28"/>
    </w:rPr>
  </w:style>
  <w:style w:type="paragraph" w:styleId="1145">
    <w:name w:val="Body Text 2"/>
    <w:basedOn w:val="1045"/>
    <w:link w:val="1146"/>
    <w:pPr>
      <w:spacing w:after="120" w:line="480" w:lineRule="auto"/>
    </w:pPr>
  </w:style>
  <w:style w:type="character" w:styleId="1146">
    <w:name w:val="Body Text 2"/>
    <w:basedOn w:val="1046"/>
    <w:link w:val="1145"/>
  </w:style>
  <w:style w:type="paragraph" w:styleId="1147">
    <w:name w:val="toc 8"/>
    <w:next w:val="1045"/>
    <w:link w:val="114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1148">
    <w:name w:val="toc 8"/>
    <w:link w:val="1147"/>
    <w:rPr>
      <w:rFonts w:ascii="XO Thames" w:hAnsi="XO Thames"/>
      <w:sz w:val="28"/>
    </w:rPr>
  </w:style>
  <w:style w:type="paragraph" w:styleId="1149">
    <w:name w:val="Знак Знак1 Знак Знак Знак Знак Знак Знак Знак Знак"/>
    <w:basedOn w:val="1045"/>
    <w:link w:val="1150"/>
    <w:pPr>
      <w:spacing w:line="240" w:lineRule="exact"/>
    </w:pPr>
    <w:rPr>
      <w:rFonts w:ascii="Times New Roman" w:hAnsi="Times New Roman"/>
      <w:sz w:val="24"/>
    </w:rPr>
  </w:style>
  <w:style w:type="character" w:styleId="1150">
    <w:name w:val="Знак Знак1 Знак Знак Знак Знак Знак Знак Знак Знак"/>
    <w:basedOn w:val="1046"/>
    <w:link w:val="1149"/>
    <w:rPr>
      <w:rFonts w:ascii="Times New Roman" w:hAnsi="Times New Roman"/>
      <w:sz w:val="24"/>
    </w:rPr>
  </w:style>
  <w:style w:type="paragraph" w:styleId="1151">
    <w:name w:val="Знак Знак1 Знак Знак Знак Знак Знак Знак Знак Знак"/>
    <w:basedOn w:val="1045"/>
    <w:link w:val="1152"/>
    <w:pPr>
      <w:spacing w:line="240" w:lineRule="exact"/>
    </w:pPr>
    <w:rPr>
      <w:rFonts w:ascii="Times New Roman" w:hAnsi="Times New Roman"/>
      <w:sz w:val="24"/>
    </w:rPr>
  </w:style>
  <w:style w:type="character" w:styleId="1152">
    <w:name w:val="Знак Знак1 Знак Знак Знак Знак Знак Знак Знак Знак"/>
    <w:basedOn w:val="1046"/>
    <w:link w:val="1151"/>
    <w:rPr>
      <w:rFonts w:ascii="Times New Roman" w:hAnsi="Times New Roman"/>
      <w:sz w:val="24"/>
    </w:rPr>
  </w:style>
  <w:style w:type="paragraph" w:styleId="1153">
    <w:name w:val="List Paragraph"/>
    <w:basedOn w:val="1045"/>
    <w:link w:val="1154"/>
    <w:pPr>
      <w:contextualSpacing/>
      <w:ind w:left="720" w:firstLine="0"/>
    </w:pPr>
  </w:style>
  <w:style w:type="character" w:styleId="1154">
    <w:name w:val="List Paragraph"/>
    <w:basedOn w:val="1046"/>
    <w:link w:val="1153"/>
  </w:style>
  <w:style w:type="paragraph" w:styleId="1155">
    <w:name w:val="endnote reference"/>
    <w:basedOn w:val="1131"/>
    <w:link w:val="1156"/>
    <w:rPr>
      <w:vertAlign w:val="superscript"/>
    </w:rPr>
  </w:style>
  <w:style w:type="character" w:styleId="1156">
    <w:name w:val="endnote reference"/>
    <w:basedOn w:val="1132"/>
    <w:link w:val="1155"/>
    <w:rPr>
      <w:vertAlign w:val="superscript"/>
    </w:rPr>
  </w:style>
  <w:style w:type="paragraph" w:styleId="1157">
    <w:name w:val="toc 5"/>
    <w:next w:val="1045"/>
    <w:link w:val="1158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1158">
    <w:name w:val="toc 5"/>
    <w:link w:val="1157"/>
    <w:rPr>
      <w:rFonts w:ascii="XO Thames" w:hAnsi="XO Thames"/>
      <w:sz w:val="28"/>
    </w:rPr>
  </w:style>
  <w:style w:type="paragraph" w:styleId="1159">
    <w:name w:val="Основной текст1"/>
    <w:basedOn w:val="1045"/>
    <w:link w:val="1160"/>
    <w:pPr>
      <w:ind w:left="0" w:firstLine="700"/>
      <w:jc w:val="both"/>
      <w:spacing w:after="0" w:line="322" w:lineRule="exact"/>
      <w:widowControl w:val="off"/>
    </w:pPr>
    <w:rPr>
      <w:rFonts w:ascii="Times New Roman" w:hAnsi="Times New Roman"/>
      <w:spacing w:val="3"/>
      <w:sz w:val="25"/>
    </w:rPr>
  </w:style>
  <w:style w:type="character" w:styleId="1160">
    <w:name w:val="Основной текст1"/>
    <w:basedOn w:val="1046"/>
    <w:link w:val="1159"/>
    <w:rPr>
      <w:rFonts w:ascii="Times New Roman" w:hAnsi="Times New Roman"/>
      <w:spacing w:val="3"/>
      <w:sz w:val="25"/>
    </w:rPr>
  </w:style>
  <w:style w:type="paragraph" w:styleId="1161">
    <w:name w:val="Знак Знак1 Знак Знак Знак Знак Знак Знак Знак Знак"/>
    <w:basedOn w:val="1045"/>
    <w:link w:val="1162"/>
    <w:pPr>
      <w:spacing w:line="240" w:lineRule="exact"/>
    </w:pPr>
    <w:rPr>
      <w:rFonts w:ascii="Times New Roman" w:hAnsi="Times New Roman"/>
      <w:sz w:val="24"/>
    </w:rPr>
  </w:style>
  <w:style w:type="character" w:styleId="1162">
    <w:name w:val="Знак Знак1 Знак Знак Знак Знак Знак Знак Знак Знак"/>
    <w:basedOn w:val="1046"/>
    <w:link w:val="1161"/>
    <w:rPr>
      <w:rFonts w:ascii="Times New Roman" w:hAnsi="Times New Roman"/>
      <w:sz w:val="24"/>
    </w:rPr>
  </w:style>
  <w:style w:type="paragraph" w:styleId="1163">
    <w:name w:val="Balloon Text"/>
    <w:basedOn w:val="1045"/>
    <w:link w:val="1164"/>
    <w:pPr>
      <w:spacing w:after="0" w:line="240" w:lineRule="auto"/>
    </w:pPr>
    <w:rPr>
      <w:rFonts w:ascii="Segoe UI" w:hAnsi="Segoe UI"/>
      <w:sz w:val="18"/>
    </w:rPr>
  </w:style>
  <w:style w:type="character" w:styleId="1164">
    <w:name w:val="Balloon Text"/>
    <w:basedOn w:val="1046"/>
    <w:link w:val="1163"/>
    <w:rPr>
      <w:rFonts w:ascii="Segoe UI" w:hAnsi="Segoe UI"/>
      <w:sz w:val="18"/>
    </w:rPr>
  </w:style>
  <w:style w:type="paragraph" w:styleId="1165">
    <w:name w:val="Знак Знак1 Знак Знак Знак Знак Знак Знак Знак Знак"/>
    <w:basedOn w:val="1045"/>
    <w:link w:val="1166"/>
    <w:pPr>
      <w:spacing w:line="240" w:lineRule="exact"/>
    </w:pPr>
    <w:rPr>
      <w:rFonts w:ascii="Times New Roman" w:hAnsi="Times New Roman"/>
      <w:sz w:val="24"/>
    </w:rPr>
  </w:style>
  <w:style w:type="character" w:styleId="1166">
    <w:name w:val="Знак Знак1 Знак Знак Знак Знак Знак Знак Знак Знак"/>
    <w:basedOn w:val="1046"/>
    <w:link w:val="1165"/>
    <w:rPr>
      <w:rFonts w:ascii="Times New Roman" w:hAnsi="Times New Roman"/>
      <w:sz w:val="24"/>
    </w:rPr>
  </w:style>
  <w:style w:type="paragraph" w:styleId="1167">
    <w:name w:val="Subtitle"/>
    <w:next w:val="1045"/>
    <w:link w:val="116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168">
    <w:name w:val="Subtitle"/>
    <w:link w:val="1167"/>
    <w:rPr>
      <w:rFonts w:ascii="XO Thames" w:hAnsi="XO Thames"/>
      <w:i/>
      <w:sz w:val="24"/>
    </w:rPr>
  </w:style>
  <w:style w:type="paragraph" w:styleId="1169">
    <w:name w:val="Footer"/>
    <w:basedOn w:val="1045"/>
    <w:link w:val="117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70">
    <w:name w:val="Footer"/>
    <w:basedOn w:val="1046"/>
    <w:link w:val="1169"/>
  </w:style>
  <w:style w:type="paragraph" w:styleId="1171">
    <w:name w:val="Знак Знак1 Знак Знак Знак Знак Знак Знак Знак Знак"/>
    <w:basedOn w:val="1045"/>
    <w:link w:val="1172"/>
    <w:pPr>
      <w:spacing w:line="240" w:lineRule="exact"/>
    </w:pPr>
    <w:rPr>
      <w:rFonts w:ascii="Times New Roman" w:hAnsi="Times New Roman"/>
      <w:sz w:val="24"/>
    </w:rPr>
  </w:style>
  <w:style w:type="character" w:styleId="1172">
    <w:name w:val="Знак Знак1 Знак Знак Знак Знак Знак Знак Знак Знак"/>
    <w:basedOn w:val="1046"/>
    <w:link w:val="1171"/>
    <w:rPr>
      <w:rFonts w:ascii="Times New Roman" w:hAnsi="Times New Roman"/>
      <w:sz w:val="24"/>
    </w:rPr>
  </w:style>
  <w:style w:type="paragraph" w:styleId="1173">
    <w:name w:val="Знак Знак1 Знак Знак Знак Знак Знак Знак Знак Знак"/>
    <w:basedOn w:val="1045"/>
    <w:link w:val="1174"/>
    <w:pPr>
      <w:spacing w:line="240" w:lineRule="exact"/>
    </w:pPr>
    <w:rPr>
      <w:rFonts w:ascii="Times New Roman" w:hAnsi="Times New Roman"/>
      <w:sz w:val="24"/>
    </w:rPr>
  </w:style>
  <w:style w:type="character" w:styleId="1174">
    <w:name w:val="Знак Знак1 Знак Знак Знак Знак Знак Знак Знак Знак"/>
    <w:basedOn w:val="1046"/>
    <w:link w:val="1173"/>
    <w:rPr>
      <w:rFonts w:ascii="Times New Roman" w:hAnsi="Times New Roman"/>
      <w:sz w:val="24"/>
    </w:rPr>
  </w:style>
  <w:style w:type="paragraph" w:styleId="1175">
    <w:name w:val="Знак Знак1 Знак Знак Знак Знак Знак Знак Знак Знак"/>
    <w:basedOn w:val="1045"/>
    <w:link w:val="1176"/>
    <w:pPr>
      <w:spacing w:line="240" w:lineRule="exact"/>
    </w:pPr>
    <w:rPr>
      <w:rFonts w:ascii="Times New Roman" w:hAnsi="Times New Roman"/>
      <w:sz w:val="24"/>
    </w:rPr>
  </w:style>
  <w:style w:type="character" w:styleId="1176">
    <w:name w:val="Знак Знак1 Знак Знак Знак Знак Знак Знак Знак Знак"/>
    <w:basedOn w:val="1046"/>
    <w:link w:val="1175"/>
    <w:rPr>
      <w:rFonts w:ascii="Times New Roman" w:hAnsi="Times New Roman"/>
      <w:sz w:val="24"/>
    </w:rPr>
  </w:style>
  <w:style w:type="paragraph" w:styleId="1177">
    <w:name w:val="Знак Знак1 Знак Знак Знак Знак Знак Знак Знак Знак"/>
    <w:basedOn w:val="1045"/>
    <w:link w:val="1178"/>
    <w:pPr>
      <w:spacing w:line="240" w:lineRule="exact"/>
    </w:pPr>
    <w:rPr>
      <w:rFonts w:ascii="Times New Roman" w:hAnsi="Times New Roman"/>
      <w:sz w:val="24"/>
    </w:rPr>
  </w:style>
  <w:style w:type="character" w:styleId="1178">
    <w:name w:val="Знак Знак1 Знак Знак Знак Знак Знак Знак Знак Знак"/>
    <w:basedOn w:val="1046"/>
    <w:link w:val="1177"/>
    <w:rPr>
      <w:rFonts w:ascii="Times New Roman" w:hAnsi="Times New Roman"/>
      <w:sz w:val="24"/>
    </w:rPr>
  </w:style>
  <w:style w:type="paragraph" w:styleId="1179">
    <w:name w:val="Знак Знак1 Знак Знак Знак Знак Знак Знак Знак Знак"/>
    <w:basedOn w:val="1045"/>
    <w:link w:val="1180"/>
    <w:pPr>
      <w:spacing w:line="240" w:lineRule="exact"/>
    </w:pPr>
    <w:rPr>
      <w:rFonts w:ascii="Times New Roman" w:hAnsi="Times New Roman"/>
      <w:sz w:val="24"/>
    </w:rPr>
  </w:style>
  <w:style w:type="character" w:styleId="1180">
    <w:name w:val="Знак Знак1 Знак Знак Знак Знак Знак Знак Знак Знак"/>
    <w:basedOn w:val="1046"/>
    <w:link w:val="1179"/>
    <w:rPr>
      <w:rFonts w:ascii="Times New Roman" w:hAnsi="Times New Roman"/>
      <w:sz w:val="24"/>
    </w:rPr>
  </w:style>
  <w:style w:type="paragraph" w:styleId="1181">
    <w:name w:val="Title"/>
    <w:next w:val="1045"/>
    <w:link w:val="1182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182">
    <w:name w:val="Title"/>
    <w:link w:val="1181"/>
    <w:rPr>
      <w:rFonts w:ascii="XO Thames" w:hAnsi="XO Thames"/>
      <w:b/>
      <w:caps/>
      <w:sz w:val="40"/>
    </w:rPr>
  </w:style>
  <w:style w:type="paragraph" w:styleId="1183">
    <w:name w:val="Heading 4"/>
    <w:next w:val="1045"/>
    <w:link w:val="118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1184">
    <w:name w:val="Heading 4"/>
    <w:link w:val="1183"/>
    <w:rPr>
      <w:rFonts w:ascii="XO Thames" w:hAnsi="XO Thames"/>
      <w:b/>
      <w:sz w:val="24"/>
    </w:rPr>
  </w:style>
  <w:style w:type="paragraph" w:styleId="1185">
    <w:name w:val="Heading 2"/>
    <w:next w:val="1045"/>
    <w:link w:val="1186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1186">
    <w:name w:val="Heading 2"/>
    <w:link w:val="1185"/>
    <w:rPr>
      <w:rFonts w:ascii="XO Thames" w:hAnsi="XO Thames"/>
      <w:b/>
      <w:sz w:val="28"/>
    </w:rPr>
  </w:style>
  <w:style w:type="paragraph" w:styleId="1187">
    <w:name w:val="Body Text Indent 2"/>
    <w:basedOn w:val="1045"/>
    <w:link w:val="1188"/>
    <w:pPr>
      <w:ind w:left="283" w:firstLine="0"/>
      <w:spacing w:after="120" w:line="480" w:lineRule="auto"/>
    </w:pPr>
  </w:style>
  <w:style w:type="character" w:styleId="1188">
    <w:name w:val="Body Text Indent 2"/>
    <w:basedOn w:val="1046"/>
    <w:link w:val="1187"/>
  </w:style>
  <w:style w:type="table" w:styleId="118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190">
    <w:name w:val="Table Grid"/>
    <w:basedOn w:val="118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119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y.eliseeva</cp:lastModifiedBy>
  <cp:revision>16</cp:revision>
  <dcterms:modified xsi:type="dcterms:W3CDTF">2026-07-27T17:46:33Z</dcterms:modified>
</cp:coreProperties>
</file>