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firstLine="0"/>
        <w:jc w:val="center"/>
        <w:spacing w:after="0" w:afterAutospacing="0" w:line="276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Межрегиональное т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ерриториальное управление </w:t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ind w:left="0" w:firstLine="0"/>
        <w:jc w:val="center"/>
        <w:spacing w:after="0" w:afterAutospacing="0" w:line="276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Федерального агентства по управлению государственным имуществом в 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Архангельской области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 и Ненецком автономном округе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 (далее – продавец)</w:t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ind w:left="0" w:firstLine="0"/>
        <w:jc w:val="center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в соответствии с Федеральным законом от 21.12.2001 № 178-ФЗ 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center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«О приватизации государственного и муниципального имущества» 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center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в порядке, установленном постановлением Правительства РФ от 27.08.2012 № 860 «Об организации и проведении продажи государственного или муниципального имущества в электронной форме»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center"/>
        <w:spacing w:after="0" w:afterAutospacing="0" w:line="276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сообщает 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о 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проведении аукциона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 в электронной форме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 по продаже 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государственного имущества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, открытого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по 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составу участников и 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по форме подачи предложения о цене имущества. </w:t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pStyle w:val="1157"/>
        <w:ind w:left="0" w:firstLine="0"/>
        <w:jc w:val="center"/>
        <w:spacing w:before="0" w:after="0" w:afterAutospacing="0" w:line="276" w:lineRule="auto"/>
        <w:rPr>
          <w:rFonts w:ascii="Times New Roman" w:hAnsi="Times New Roman" w:cs="Times New Roman"/>
          <w:b w:val="0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lang w:val="ru-RU"/>
        </w:rPr>
        <w:t xml:space="preserve">Информационное сообщение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val="ru-RU"/>
        </w:rPr>
        <w:t xml:space="preserve">о проведении аукциона </w:t>
      </w:r>
      <w:r>
        <w:rPr>
          <w:rFonts w:ascii="Times New Roman" w:hAnsi="Times New Roman" w:eastAsia="Times New Roman" w:cs="Times New Roman"/>
          <w:b w:val="0"/>
          <w:color w:val="000000"/>
          <w:sz w:val="20"/>
          <w:szCs w:val="20"/>
        </w:rPr>
      </w:r>
      <w:r>
        <w:rPr>
          <w:rFonts w:ascii="Times New Roman" w:hAnsi="Times New Roman" w:cs="Times New Roman"/>
          <w:b w:val="0"/>
          <w:color w:val="000000"/>
          <w:sz w:val="20"/>
          <w:szCs w:val="20"/>
        </w:rPr>
      </w:r>
    </w:p>
    <w:p>
      <w:pPr>
        <w:ind w:left="0" w:firstLine="0"/>
        <w:jc w:val="center"/>
        <w:spacing w:after="0" w:afterAutospacing="0" w:line="276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в электронной форме по 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продаже 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государственного имущества.</w:t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ind w:left="0" w:firstLine="0"/>
        <w:jc w:val="center"/>
        <w:spacing w:after="0" w:afterAutospacing="0" w:line="276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Решени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е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 о приватизации 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государственного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имущества  утвержден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о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распоряжени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ем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продавца </w:t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ind w:left="0" w:firstLine="0"/>
        <w:jc w:val="center"/>
        <w:spacing w:after="0" w:afterAutospacing="0" w:line="276" w:lineRule="auto"/>
        <w:rPr>
          <w:rFonts w:ascii="Times New Roman" w:hAnsi="Times New Roman" w:cs="Times New Roman"/>
          <w:b/>
          <w:sz w:val="20"/>
          <w:szCs w:val="20"/>
          <w:highlight w:val="yellow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от 11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.06.2026 № 135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-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р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.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</w:rPr>
      </w:r>
      <w:r>
        <w:rPr>
          <w:rFonts w:ascii="Times New Roman" w:hAnsi="Times New Roman" w:cs="Times New Roman"/>
          <w:b/>
          <w:sz w:val="20"/>
          <w:szCs w:val="20"/>
          <w:highlight w:val="yellow"/>
        </w:rPr>
      </w:r>
    </w:p>
    <w:p>
      <w:pPr>
        <w:pStyle w:val="1185"/>
        <w:ind w:left="0" w:firstLine="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u w:val="single"/>
          <w:lang w:val="ru-RU"/>
        </w:rPr>
        <w:t xml:space="preserve">Извещение об аукционе опубликовано:</w:t>
      </w:r>
      <w:r>
        <w:rPr>
          <w:rFonts w:ascii="Times New Roman" w:hAnsi="Times New Roman" w:eastAsia="Times New Roman" w:cs="Times New Roman"/>
          <w:b/>
          <w:sz w:val="20"/>
          <w:szCs w:val="20"/>
          <w:u w:val="single"/>
        </w:rPr>
      </w:r>
      <w:r>
        <w:rPr>
          <w:rFonts w:ascii="Times New Roman" w:hAnsi="Times New Roman" w:cs="Times New Roman"/>
          <w:b/>
          <w:sz w:val="20"/>
          <w:szCs w:val="20"/>
          <w:u w:val="single"/>
        </w:rPr>
      </w:r>
    </w:p>
    <w:p>
      <w:pPr>
        <w:pStyle w:val="1185"/>
        <w:numPr>
          <w:ilvl w:val="0"/>
          <w:numId w:val="1"/>
        </w:numPr>
        <w:spacing w:before="0" w:beforeAutospacing="0" w:after="0" w:afterAutospacing="0" w:line="276" w:lineRule="auto"/>
        <w:rPr>
          <w:rFonts w:ascii="Times New Roman" w:hAnsi="Times New Roman" w:cs="Times New Roman"/>
          <w:b w:val="0"/>
          <w:color w:val="ff0000"/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на 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сайт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е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 </w:t>
      </w:r>
      <w:r>
        <w:rPr>
          <w:rStyle w:val="1162"/>
          <w:rFonts w:ascii="Times New Roman" w:hAnsi="Times New Roman" w:eastAsia="Times New Roman" w:cs="Times New Roman"/>
          <w:b w:val="0"/>
          <w:sz w:val="20"/>
          <w:szCs w:val="20"/>
          <w:lang w:val="ru-RU"/>
        </w:rPr>
        <w:fldChar w:fldCharType="begin"/>
      </w:r>
      <w:r>
        <w:rPr>
          <w:rStyle w:val="1162"/>
          <w:rFonts w:ascii="Times New Roman" w:hAnsi="Times New Roman" w:eastAsia="Times New Roman" w:cs="Times New Roman"/>
          <w:b w:val="0"/>
          <w:sz w:val="20"/>
          <w:szCs w:val="20"/>
          <w:lang w:val="en-US"/>
        </w:rPr>
        <w:instrText xml:space="preserve">HYPERLINK "https://torgi.gov.ru/new/;"</w:instrText>
      </w:r>
      <w:r>
        <w:rPr>
          <w:rStyle w:val="1162"/>
          <w:rFonts w:ascii="Times New Roman" w:hAnsi="Times New Roman" w:eastAsia="Times New Roman" w:cs="Times New Roman"/>
          <w:b w:val="0"/>
          <w:sz w:val="20"/>
          <w:szCs w:val="20"/>
          <w:lang w:val="en-US"/>
        </w:rPr>
        <w:fldChar w:fldCharType="separate"/>
      </w:r>
      <w:r>
        <w:rPr>
          <w:rStyle w:val="1162"/>
          <w:rFonts w:ascii="Times New Roman" w:hAnsi="Times New Roman" w:eastAsia="Times New Roman" w:cs="Times New Roman"/>
          <w:b w:val="0"/>
          <w:sz w:val="20"/>
          <w:szCs w:val="20"/>
          <w:lang w:val="en-US"/>
        </w:rPr>
        <w:t xml:space="preserve">https</w:t>
      </w:r>
      <w:r>
        <w:rPr>
          <w:rStyle w:val="1162"/>
          <w:rFonts w:ascii="Times New Roman" w:hAnsi="Times New Roman" w:eastAsia="Times New Roman" w:cs="Times New Roman"/>
          <w:b w:val="0"/>
          <w:sz w:val="20"/>
          <w:szCs w:val="20"/>
          <w:lang w:val="en-US"/>
        </w:rPr>
        <w:t xml:space="preserve">://</w:t>
      </w:r>
      <w:r>
        <w:rPr>
          <w:rStyle w:val="1162"/>
          <w:rFonts w:ascii="Times New Roman" w:hAnsi="Times New Roman" w:eastAsia="Times New Roman" w:cs="Times New Roman"/>
          <w:b w:val="0"/>
          <w:sz w:val="20"/>
          <w:szCs w:val="20"/>
          <w:lang w:val="en-US"/>
        </w:rPr>
        <w:t xml:space="preserve">torgi</w:t>
      </w:r>
      <w:r>
        <w:rPr>
          <w:rStyle w:val="1162"/>
          <w:rFonts w:ascii="Times New Roman" w:hAnsi="Times New Roman" w:eastAsia="Times New Roman" w:cs="Times New Roman"/>
          <w:b w:val="0"/>
          <w:sz w:val="20"/>
          <w:szCs w:val="20"/>
          <w:lang w:val="en-US"/>
        </w:rPr>
        <w:t xml:space="preserve">.</w:t>
      </w:r>
      <w:r>
        <w:rPr>
          <w:rStyle w:val="1162"/>
          <w:rFonts w:ascii="Times New Roman" w:hAnsi="Times New Roman" w:eastAsia="Times New Roman" w:cs="Times New Roman"/>
          <w:b w:val="0"/>
          <w:sz w:val="20"/>
          <w:szCs w:val="20"/>
          <w:lang w:val="en-US"/>
        </w:rPr>
        <w:t xml:space="preserve">gov</w:t>
      </w:r>
      <w:r>
        <w:rPr>
          <w:rStyle w:val="1162"/>
          <w:rFonts w:ascii="Times New Roman" w:hAnsi="Times New Roman" w:eastAsia="Times New Roman" w:cs="Times New Roman"/>
          <w:b w:val="0"/>
          <w:sz w:val="20"/>
          <w:szCs w:val="20"/>
          <w:lang w:val="en-US"/>
        </w:rPr>
        <w:t xml:space="preserve">.</w:t>
      </w:r>
      <w:r>
        <w:rPr>
          <w:rStyle w:val="1162"/>
          <w:rFonts w:ascii="Times New Roman" w:hAnsi="Times New Roman" w:eastAsia="Times New Roman" w:cs="Times New Roman"/>
          <w:b w:val="0"/>
          <w:sz w:val="20"/>
          <w:szCs w:val="20"/>
          <w:lang w:val="en-US"/>
        </w:rPr>
        <w:t xml:space="preserve">ru</w:t>
      </w:r>
      <w:r>
        <w:rPr>
          <w:rStyle w:val="1162"/>
          <w:rFonts w:ascii="Times New Roman" w:hAnsi="Times New Roman" w:eastAsia="Times New Roman" w:cs="Times New Roman"/>
          <w:b w:val="0"/>
          <w:sz w:val="20"/>
          <w:szCs w:val="20"/>
          <w:lang w:val="en-US"/>
        </w:rPr>
        <w:t xml:space="preserve">/</w:t>
      </w:r>
      <w:r>
        <w:rPr>
          <w:rStyle w:val="1162"/>
          <w:rFonts w:ascii="Times New Roman" w:hAnsi="Times New Roman" w:eastAsia="Times New Roman" w:cs="Times New Roman"/>
          <w:b w:val="0"/>
          <w:sz w:val="20"/>
          <w:szCs w:val="20"/>
          <w:lang w:val="en-US"/>
        </w:rPr>
        <w:t xml:space="preserve">new</w:t>
      </w:r>
      <w:r>
        <w:rPr>
          <w:rStyle w:val="1162"/>
          <w:rFonts w:ascii="Times New Roman" w:hAnsi="Times New Roman" w:eastAsia="Times New Roman" w:cs="Times New Roman"/>
          <w:b w:val="0"/>
          <w:sz w:val="20"/>
          <w:szCs w:val="20"/>
          <w:lang w:val="en-US"/>
        </w:rPr>
        <w:t xml:space="preserve">/</w:t>
      </w:r>
      <w:r>
        <w:rPr>
          <w:rStyle w:val="1162"/>
          <w:rFonts w:ascii="Times New Roman" w:hAnsi="Times New Roman" w:eastAsia="Times New Roman" w:cs="Times New Roman"/>
          <w:b w:val="0"/>
          <w:color w:val="000000" w:themeColor="text1"/>
          <w:sz w:val="20"/>
          <w:szCs w:val="20"/>
          <w:lang w:val="en-US"/>
        </w:rPr>
        <w:t xml:space="preserve">;</w:t>
      </w:r>
      <w:r>
        <w:rPr>
          <w:rStyle w:val="1162"/>
          <w:rFonts w:ascii="Times New Roman" w:hAnsi="Times New Roman" w:eastAsia="Times New Roman" w:cs="Times New Roman"/>
          <w:b w:val="0"/>
          <w:sz w:val="20"/>
          <w:szCs w:val="20"/>
          <w:lang w:val="en-US"/>
        </w:rPr>
        <w:fldChar w:fldCharType="end"/>
      </w:r>
      <w:r>
        <w:rPr>
          <w:rFonts w:ascii="Times New Roman" w:hAnsi="Times New Roman" w:eastAsia="Times New Roman" w:cs="Times New Roman"/>
          <w:b w:val="0"/>
          <w:color w:val="ff0000"/>
          <w:sz w:val="20"/>
          <w:szCs w:val="20"/>
        </w:rPr>
      </w:r>
      <w:r>
        <w:rPr>
          <w:rFonts w:ascii="Times New Roman" w:hAnsi="Times New Roman" w:cs="Times New Roman"/>
          <w:b w:val="0"/>
          <w:color w:val="ff0000"/>
          <w:sz w:val="20"/>
          <w:szCs w:val="20"/>
        </w:rPr>
      </w:r>
    </w:p>
    <w:p>
      <w:pPr>
        <w:numPr>
          <w:ilvl w:val="0"/>
          <w:numId w:val="1"/>
        </w:numPr>
        <w:spacing w:before="0" w:beforeAutospacing="0" w:after="0" w:afterAutospacing="0" w:line="276" w:lineRule="auto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на электронной торговой площадке </w:t>
      </w:r>
      <w:r>
        <w:rPr>
          <w:rStyle w:val="1162"/>
          <w:rFonts w:ascii="Times New Roman" w:hAnsi="Times New Roman" w:eastAsia="Times New Roman" w:cs="Times New Roman"/>
          <w:b w:val="0"/>
          <w:sz w:val="20"/>
          <w:szCs w:val="20"/>
          <w:lang w:val="ru-RU"/>
        </w:rPr>
        <w:fldChar w:fldCharType="begin"/>
      </w:r>
      <w:r>
        <w:rPr>
          <w:rStyle w:val="1162"/>
          <w:rFonts w:ascii="Times New Roman" w:hAnsi="Times New Roman" w:eastAsia="Times New Roman" w:cs="Times New Roman"/>
          <w:b w:val="0"/>
          <w:sz w:val="20"/>
          <w:szCs w:val="20"/>
          <w:lang w:val="en-US"/>
        </w:rPr>
        <w:instrText xml:space="preserve">HYPERLINK "http://www.rts-tender.ru;"</w:instrText>
      </w:r>
      <w:r>
        <w:rPr>
          <w:rStyle w:val="1162"/>
          <w:rFonts w:ascii="Times New Roman" w:hAnsi="Times New Roman" w:eastAsia="Times New Roman" w:cs="Times New Roman"/>
          <w:b w:val="0"/>
          <w:sz w:val="20"/>
          <w:szCs w:val="20"/>
          <w:lang w:val="en-US"/>
        </w:rPr>
        <w:fldChar w:fldCharType="separate"/>
      </w:r>
      <w:r>
        <w:rPr>
          <w:rStyle w:val="1162"/>
          <w:rFonts w:ascii="Times New Roman" w:hAnsi="Times New Roman" w:eastAsia="Times New Roman" w:cs="Times New Roman"/>
          <w:b w:val="0"/>
          <w:sz w:val="20"/>
          <w:szCs w:val="20"/>
          <w:lang w:val="en-US"/>
        </w:rPr>
        <w:t xml:space="preserve">www</w:t>
      </w:r>
      <w:r>
        <w:rPr>
          <w:rStyle w:val="1162"/>
          <w:rFonts w:ascii="Times New Roman" w:hAnsi="Times New Roman" w:eastAsia="Times New Roman" w:cs="Times New Roman"/>
          <w:b w:val="0"/>
          <w:sz w:val="20"/>
          <w:szCs w:val="20"/>
          <w:lang w:val="en-US"/>
        </w:rPr>
        <w:t xml:space="preserve">.rts-tender.ru</w:t>
      </w:r>
      <w:r>
        <w:rPr>
          <w:rStyle w:val="1162"/>
          <w:rFonts w:ascii="Times New Roman" w:hAnsi="Times New Roman" w:eastAsia="Times New Roman" w:cs="Times New Roman"/>
          <w:b w:val="0"/>
          <w:sz w:val="20"/>
          <w:szCs w:val="20"/>
          <w:lang w:val="en-US"/>
        </w:rPr>
        <w:t xml:space="preserve">;</w:t>
      </w:r>
      <w:r>
        <w:rPr>
          <w:rStyle w:val="1162"/>
          <w:rFonts w:ascii="Times New Roman" w:hAnsi="Times New Roman" w:eastAsia="Times New Roman" w:cs="Times New Roman"/>
          <w:b w:val="0"/>
          <w:sz w:val="20"/>
          <w:szCs w:val="20"/>
          <w:lang w:val="en-US"/>
        </w:rPr>
        <w:fldChar w:fldCharType="end"/>
      </w:r>
      <w:r>
        <w:rPr>
          <w:rFonts w:ascii="Times New Roman" w:hAnsi="Times New Roman" w:eastAsia="Times New Roman" w:cs="Times New Roman"/>
          <w:b w:val="0"/>
          <w:sz w:val="20"/>
          <w:szCs w:val="20"/>
        </w:rPr>
      </w:r>
      <w:r>
        <w:rPr>
          <w:rFonts w:ascii="Times New Roman" w:hAnsi="Times New Roman" w:cs="Times New Roman"/>
          <w:b w:val="0"/>
          <w:sz w:val="20"/>
          <w:szCs w:val="20"/>
        </w:rPr>
      </w:r>
    </w:p>
    <w:p>
      <w:pPr>
        <w:numPr>
          <w:ilvl w:val="0"/>
          <w:numId w:val="1"/>
        </w:numPr>
        <w:spacing w:before="0" w:beforeAutospacing="0" w:after="0" w:afterAutospacing="0" w:line="276" w:lineRule="auto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на сайте 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en-US"/>
        </w:rPr>
        <w:t xml:space="preserve">https://fiol.rosim.gov.ru/mk/.</w:t>
      </w:r>
      <w:r>
        <w:rPr>
          <w:rFonts w:ascii="Times New Roman" w:hAnsi="Times New Roman" w:eastAsia="Times New Roman" w:cs="Times New Roman"/>
          <w:b w:val="0"/>
          <w:sz w:val="20"/>
          <w:szCs w:val="20"/>
        </w:rPr>
      </w:r>
      <w:r>
        <w:rPr>
          <w:rFonts w:ascii="Times New Roman" w:hAnsi="Times New Roman" w:cs="Times New Roman"/>
          <w:b w:val="0"/>
          <w:sz w:val="20"/>
          <w:szCs w:val="20"/>
        </w:rPr>
      </w:r>
    </w:p>
    <w:p>
      <w:pPr>
        <w:pStyle w:val="1185"/>
        <w:ind w:left="0" w:firstLine="0"/>
        <w:jc w:val="both"/>
        <w:spacing w:before="0" w:beforeAutospacing="0" w:after="0" w:afterAutospacing="0" w:line="276" w:lineRule="auto"/>
        <w:tabs>
          <w:tab w:val="left" w:pos="2220" w:leader="none"/>
        </w:tabs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u w:val="single"/>
          <w:lang w:val="ru-RU"/>
        </w:rPr>
        <w:t xml:space="preserve">Лот № 1</w:t>
      </w:r>
      <w:r>
        <w:rPr>
          <w:rFonts w:ascii="Times New Roman" w:hAnsi="Times New Roman" w:eastAsia="Times New Roman" w:cs="Times New Roman"/>
          <w:b/>
          <w:sz w:val="20"/>
          <w:szCs w:val="20"/>
          <w:u w:val="single"/>
        </w:rPr>
      </w:r>
      <w:r>
        <w:rPr>
          <w:rFonts w:ascii="Times New Roman" w:hAnsi="Times New Roman" w:cs="Times New Roman"/>
          <w:b/>
          <w:sz w:val="20"/>
          <w:szCs w:val="20"/>
          <w:u w:val="single"/>
        </w:rPr>
      </w:r>
    </w:p>
    <w:p>
      <w:pPr>
        <w:ind w:left="0" w:right="0" w:firstLine="0"/>
        <w:jc w:val="both"/>
        <w:spacing w:before="0" w:after="0" w:afterAutospacing="0" w:line="276" w:lineRule="auto"/>
        <w:widowControl w:val="off"/>
        <w:tabs>
          <w:tab w:val="left" w:pos="1134" w:leader="none"/>
        </w:tabs>
        <w:rPr>
          <w:rFonts w:ascii="Times New Roman" w:hAnsi="Times New Roman" w:eastAsia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а) 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Наименование имущества, его характеристики, описание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: </w:t>
      </w:r>
      <w:r>
        <w:rPr>
          <w:rFonts w:ascii="Times New Roman" w:hAnsi="Times New Roman" w:eastAsia="Times New Roman" w:cs="Times New Roman"/>
          <w:b w:val="0"/>
          <w:i w:val="0"/>
          <w:caps w:val="0"/>
          <w:color w:val="000000"/>
          <w:spacing w:val="0"/>
          <w:sz w:val="20"/>
          <w:szCs w:val="20"/>
          <w:highlight w:val="white"/>
          <w:lang w:val="ru-RU"/>
        </w:rPr>
        <w:t xml:space="preserve">1/2 доли в праве общей долевой собственности 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на нежилое помещение (н</w:t>
      </w:r>
      <w:r>
        <w:rPr>
          <w:rFonts w:ascii="Times New Roman" w:hAnsi="Times New Roman" w:eastAsia="Times New Roman" w:cs="Times New Roman"/>
          <w:b w:val="0"/>
          <w:i w:val="0"/>
          <w:caps w:val="0"/>
          <w:color w:val="000000"/>
          <w:spacing w:val="0"/>
          <w:sz w:val="20"/>
          <w:szCs w:val="20"/>
          <w:highlight w:val="white"/>
          <w:lang w:val="ru-RU"/>
        </w:rPr>
        <w:t xml:space="preserve">ежилое встроенн</w:t>
      </w:r>
      <w:r>
        <w:rPr>
          <w:rFonts w:ascii="Times New Roman" w:hAnsi="Times New Roman" w:eastAsia="Times New Roman" w:cs="Times New Roman"/>
          <w:b w:val="0"/>
          <w:i w:val="0"/>
          <w:caps w:val="0"/>
          <w:color w:val="000000"/>
          <w:spacing w:val="0"/>
          <w:sz w:val="20"/>
          <w:szCs w:val="20"/>
          <w:highlight w:val="white"/>
          <w:lang w:val="ru-RU"/>
        </w:rPr>
        <w:t xml:space="preserve">ое помещение магазина «Товары для дома»)</w:t>
      </w:r>
      <w:r>
        <w:rPr>
          <w:rFonts w:ascii="Times New Roman" w:hAnsi="Times New Roman" w:eastAsia="Times New Roman" w:cs="Times New Roman"/>
          <w:b w:val="0"/>
          <w:i w:val="0"/>
          <w:caps w:val="0"/>
          <w:color w:val="000000"/>
          <w:spacing w:val="0"/>
          <w:sz w:val="20"/>
          <w:szCs w:val="20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b w:val="0"/>
          <w:i w:val="0"/>
          <w:caps w:val="0"/>
          <w:color w:val="000000"/>
          <w:spacing w:val="0"/>
          <w:sz w:val="20"/>
          <w:szCs w:val="20"/>
          <w:highlight w:val="white"/>
          <w:lang w:val="ru-RU"/>
        </w:rPr>
        <w:t xml:space="preserve">о</w:t>
      </w:r>
      <w:r>
        <w:rPr>
          <w:rFonts w:ascii="Times New Roman" w:hAnsi="Times New Roman" w:eastAsia="Times New Roman" w:cs="Times New Roman"/>
          <w:b w:val="0"/>
          <w:i w:val="0"/>
          <w:caps w:val="0"/>
          <w:color w:val="000000"/>
          <w:spacing w:val="0"/>
          <w:sz w:val="20"/>
          <w:szCs w:val="20"/>
          <w:highlight w:val="white"/>
          <w:lang w:val="ru-RU"/>
        </w:rPr>
        <w:t xml:space="preserve">б</w:t>
      </w:r>
      <w:r>
        <w:rPr>
          <w:rFonts w:ascii="Times New Roman" w:hAnsi="Times New Roman" w:eastAsia="Times New Roman" w:cs="Times New Roman"/>
          <w:b w:val="0"/>
          <w:i w:val="0"/>
          <w:caps w:val="0"/>
          <w:color w:val="000000"/>
          <w:spacing w:val="0"/>
          <w:sz w:val="20"/>
          <w:szCs w:val="20"/>
          <w:highlight w:val="white"/>
          <w:lang w:val="ru-RU"/>
        </w:rPr>
        <w:t xml:space="preserve">щ</w:t>
      </w:r>
      <w:r>
        <w:rPr>
          <w:rFonts w:ascii="Times New Roman" w:hAnsi="Times New Roman" w:eastAsia="Times New Roman" w:cs="Times New Roman"/>
          <w:b w:val="0"/>
          <w:i w:val="0"/>
          <w:caps w:val="0"/>
          <w:color w:val="000000"/>
          <w:spacing w:val="0"/>
          <w:sz w:val="20"/>
          <w:szCs w:val="20"/>
          <w:highlight w:val="white"/>
          <w:lang w:val="ru-RU"/>
        </w:rPr>
        <w:t xml:space="preserve">е</w:t>
      </w:r>
      <w:r>
        <w:rPr>
          <w:rFonts w:ascii="Times New Roman" w:hAnsi="Times New Roman" w:eastAsia="Times New Roman" w:cs="Times New Roman"/>
          <w:b w:val="0"/>
          <w:i w:val="0"/>
          <w:caps w:val="0"/>
          <w:color w:val="000000"/>
          <w:spacing w:val="0"/>
          <w:sz w:val="20"/>
          <w:szCs w:val="20"/>
          <w:highlight w:val="white"/>
          <w:lang w:val="ru-RU"/>
        </w:rPr>
        <w:t xml:space="preserve">й</w:t>
      </w:r>
      <w:r>
        <w:rPr>
          <w:rFonts w:ascii="Times New Roman" w:hAnsi="Times New Roman" w:eastAsia="Times New Roman" w:cs="Times New Roman"/>
          <w:b w:val="0"/>
          <w:i w:val="0"/>
          <w:caps w:val="0"/>
          <w:color w:val="000000"/>
          <w:spacing w:val="0"/>
          <w:sz w:val="20"/>
          <w:szCs w:val="20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b w:val="0"/>
          <w:i w:val="0"/>
          <w:caps w:val="0"/>
          <w:color w:val="000000"/>
          <w:spacing w:val="0"/>
          <w:sz w:val="20"/>
          <w:szCs w:val="20"/>
          <w:highlight w:val="white"/>
          <w:lang w:val="ru-RU"/>
        </w:rPr>
        <w:t xml:space="preserve">п</w:t>
      </w:r>
      <w:r>
        <w:rPr>
          <w:rFonts w:ascii="Times New Roman" w:hAnsi="Times New Roman" w:eastAsia="Times New Roman" w:cs="Times New Roman"/>
          <w:b w:val="0"/>
          <w:i w:val="0"/>
          <w:caps w:val="0"/>
          <w:color w:val="000000"/>
          <w:spacing w:val="0"/>
          <w:sz w:val="20"/>
          <w:szCs w:val="20"/>
          <w:highlight w:val="white"/>
          <w:lang w:val="ru-RU"/>
        </w:rPr>
        <w:t xml:space="preserve">л</w:t>
      </w:r>
      <w:r>
        <w:rPr>
          <w:rFonts w:ascii="Times New Roman" w:hAnsi="Times New Roman" w:eastAsia="Times New Roman" w:cs="Times New Roman"/>
          <w:b w:val="0"/>
          <w:i w:val="0"/>
          <w:caps w:val="0"/>
          <w:color w:val="000000"/>
          <w:spacing w:val="0"/>
          <w:sz w:val="20"/>
          <w:szCs w:val="20"/>
          <w:highlight w:val="white"/>
          <w:lang w:val="ru-RU"/>
        </w:rPr>
        <w:t xml:space="preserve">о</w:t>
      </w:r>
      <w:r>
        <w:rPr>
          <w:rFonts w:ascii="Times New Roman" w:hAnsi="Times New Roman" w:eastAsia="Times New Roman" w:cs="Times New Roman"/>
          <w:b w:val="0"/>
          <w:i w:val="0"/>
          <w:caps w:val="0"/>
          <w:color w:val="000000"/>
          <w:spacing w:val="0"/>
          <w:sz w:val="20"/>
          <w:szCs w:val="20"/>
          <w:highlight w:val="white"/>
          <w:lang w:val="ru-RU"/>
        </w:rPr>
        <w:t xml:space="preserve">щ</w:t>
      </w:r>
      <w:r>
        <w:rPr>
          <w:rFonts w:ascii="Times New Roman" w:hAnsi="Times New Roman" w:eastAsia="Times New Roman" w:cs="Times New Roman"/>
          <w:b w:val="0"/>
          <w:i w:val="0"/>
          <w:caps w:val="0"/>
          <w:color w:val="000000"/>
          <w:spacing w:val="0"/>
          <w:sz w:val="20"/>
          <w:szCs w:val="20"/>
          <w:highlight w:val="white"/>
          <w:lang w:val="ru-RU"/>
        </w:rPr>
        <w:t xml:space="preserve">а</w:t>
      </w:r>
      <w:r>
        <w:rPr>
          <w:rFonts w:ascii="Times New Roman" w:hAnsi="Times New Roman" w:eastAsia="Times New Roman" w:cs="Times New Roman"/>
          <w:b w:val="0"/>
          <w:i w:val="0"/>
          <w:caps w:val="0"/>
          <w:color w:val="000000"/>
          <w:spacing w:val="0"/>
          <w:sz w:val="20"/>
          <w:szCs w:val="20"/>
          <w:highlight w:val="white"/>
          <w:lang w:val="ru-RU"/>
        </w:rPr>
        <w:t xml:space="preserve">д</w:t>
      </w:r>
      <w:r>
        <w:rPr>
          <w:rFonts w:ascii="Times New Roman" w:hAnsi="Times New Roman" w:eastAsia="Times New Roman" w:cs="Times New Roman"/>
          <w:b w:val="0"/>
          <w:i w:val="0"/>
          <w:caps w:val="0"/>
          <w:color w:val="000000"/>
          <w:spacing w:val="0"/>
          <w:sz w:val="20"/>
          <w:szCs w:val="20"/>
          <w:highlight w:val="white"/>
          <w:lang w:val="ru-RU"/>
        </w:rPr>
        <w:t xml:space="preserve">ь</w:t>
      </w:r>
      <w:r>
        <w:rPr>
          <w:rFonts w:ascii="Times New Roman" w:hAnsi="Times New Roman" w:eastAsia="Times New Roman" w:cs="Times New Roman"/>
          <w:b w:val="0"/>
          <w:i w:val="0"/>
          <w:caps w:val="0"/>
          <w:color w:val="000000"/>
          <w:spacing w:val="0"/>
          <w:sz w:val="20"/>
          <w:szCs w:val="20"/>
          <w:highlight w:val="white"/>
          <w:lang w:val="ru-RU"/>
        </w:rPr>
        <w:t xml:space="preserve">ю</w:t>
      </w:r>
      <w:r>
        <w:rPr>
          <w:rFonts w:ascii="Times New Roman" w:hAnsi="Times New Roman" w:eastAsia="Times New Roman" w:cs="Times New Roman"/>
          <w:b w:val="0"/>
          <w:i w:val="0"/>
          <w:caps w:val="0"/>
          <w:color w:val="000000"/>
          <w:spacing w:val="0"/>
          <w:sz w:val="20"/>
          <w:szCs w:val="20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b w:val="0"/>
          <w:i w:val="0"/>
          <w:caps w:val="0"/>
          <w:color w:val="000000"/>
          <w:spacing w:val="0"/>
          <w:sz w:val="20"/>
          <w:szCs w:val="20"/>
          <w:highlight w:val="white"/>
          <w:lang w:val="ru-RU"/>
        </w:rPr>
        <w:t xml:space="preserve">7</w:t>
      </w:r>
      <w:r>
        <w:rPr>
          <w:rFonts w:ascii="Times New Roman" w:hAnsi="Times New Roman" w:eastAsia="Times New Roman" w:cs="Times New Roman"/>
          <w:b w:val="0"/>
          <w:i w:val="0"/>
          <w:caps w:val="0"/>
          <w:color w:val="000000"/>
          <w:spacing w:val="0"/>
          <w:sz w:val="20"/>
          <w:szCs w:val="20"/>
          <w:highlight w:val="white"/>
          <w:lang w:val="ru-RU"/>
        </w:rPr>
        <w:t xml:space="preserve">4</w:t>
      </w:r>
      <w:r>
        <w:rPr>
          <w:rFonts w:ascii="Times New Roman" w:hAnsi="Times New Roman" w:eastAsia="Times New Roman" w:cs="Times New Roman"/>
          <w:b w:val="0"/>
          <w:i w:val="0"/>
          <w:caps w:val="0"/>
          <w:color w:val="000000"/>
          <w:spacing w:val="0"/>
          <w:sz w:val="20"/>
          <w:szCs w:val="20"/>
          <w:highlight w:val="white"/>
          <w:lang w:val="ru-RU"/>
        </w:rPr>
        <w:t xml:space="preserve">0</w:t>
      </w:r>
      <w:r>
        <w:rPr>
          <w:rFonts w:ascii="Times New Roman" w:hAnsi="Times New Roman" w:eastAsia="Times New Roman" w:cs="Times New Roman"/>
          <w:b w:val="0"/>
          <w:i w:val="0"/>
          <w:caps w:val="0"/>
          <w:color w:val="000000"/>
          <w:spacing w:val="0"/>
          <w:sz w:val="20"/>
          <w:szCs w:val="20"/>
          <w:highlight w:val="white"/>
          <w:lang w:val="ru-RU"/>
        </w:rPr>
        <w:t xml:space="preserve">,</w:t>
      </w:r>
      <w:r>
        <w:rPr>
          <w:rFonts w:ascii="Times New Roman" w:hAnsi="Times New Roman" w:eastAsia="Times New Roman" w:cs="Times New Roman"/>
          <w:b w:val="0"/>
          <w:i w:val="0"/>
          <w:caps w:val="0"/>
          <w:color w:val="000000"/>
          <w:spacing w:val="0"/>
          <w:sz w:val="20"/>
          <w:szCs w:val="20"/>
          <w:highlight w:val="white"/>
          <w:lang w:val="ru-RU"/>
        </w:rPr>
        <w:t xml:space="preserve">6</w:t>
      </w:r>
      <w:r>
        <w:rPr>
          <w:rFonts w:ascii="Times New Roman" w:hAnsi="Times New Roman" w:eastAsia="Times New Roman" w:cs="Times New Roman"/>
          <w:b w:val="0"/>
          <w:i w:val="0"/>
          <w:caps w:val="0"/>
          <w:color w:val="000000"/>
          <w:spacing w:val="0"/>
          <w:sz w:val="20"/>
          <w:szCs w:val="20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b w:val="0"/>
          <w:i w:val="0"/>
          <w:caps w:val="0"/>
          <w:color w:val="000000"/>
          <w:spacing w:val="0"/>
          <w:sz w:val="20"/>
          <w:szCs w:val="20"/>
          <w:highlight w:val="white"/>
          <w:lang w:val="ru-RU"/>
        </w:rPr>
        <w:t xml:space="preserve">к</w:t>
      </w:r>
      <w:r>
        <w:rPr>
          <w:rFonts w:ascii="Times New Roman" w:hAnsi="Times New Roman" w:eastAsia="Times New Roman" w:cs="Times New Roman"/>
          <w:b w:val="0"/>
          <w:i w:val="0"/>
          <w:caps w:val="0"/>
          <w:color w:val="000000"/>
          <w:spacing w:val="0"/>
          <w:sz w:val="20"/>
          <w:szCs w:val="20"/>
          <w:highlight w:val="white"/>
          <w:lang w:val="ru-RU"/>
        </w:rPr>
        <w:t xml:space="preserve">в</w:t>
      </w:r>
      <w:r>
        <w:rPr>
          <w:rFonts w:ascii="Times New Roman" w:hAnsi="Times New Roman" w:eastAsia="Times New Roman" w:cs="Times New Roman"/>
          <w:b w:val="0"/>
          <w:i w:val="0"/>
          <w:caps w:val="0"/>
          <w:color w:val="000000"/>
          <w:spacing w:val="0"/>
          <w:sz w:val="20"/>
          <w:szCs w:val="20"/>
          <w:highlight w:val="white"/>
          <w:lang w:val="ru-RU"/>
        </w:rPr>
        <w:t xml:space="preserve">.</w:t>
      </w:r>
      <w:r>
        <w:rPr>
          <w:rFonts w:ascii="Times New Roman" w:hAnsi="Times New Roman" w:eastAsia="Times New Roman" w:cs="Times New Roman"/>
          <w:b w:val="0"/>
          <w:i w:val="0"/>
          <w:caps w:val="0"/>
          <w:color w:val="000000"/>
          <w:spacing w:val="0"/>
          <w:sz w:val="20"/>
          <w:szCs w:val="20"/>
          <w:highlight w:val="white"/>
          <w:lang w:val="ru-RU"/>
        </w:rPr>
        <w:t xml:space="preserve">м</w:t>
      </w:r>
      <w:r>
        <w:rPr>
          <w:rFonts w:ascii="Times New Roman" w:hAnsi="Times New Roman" w:eastAsia="Times New Roman" w:cs="Times New Roman"/>
          <w:b w:val="0"/>
          <w:i w:val="0"/>
          <w:caps w:val="0"/>
          <w:color w:val="000000"/>
          <w:spacing w:val="0"/>
          <w:sz w:val="20"/>
          <w:szCs w:val="20"/>
          <w:highlight w:val="white"/>
          <w:lang w:val="ru-RU"/>
        </w:rPr>
        <w:t xml:space="preserve">,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 кадастровый номер 29:24:030210:3882.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</w:p>
    <w:p>
      <w:pPr>
        <w:ind w:left="0" w:right="0" w:firstLine="0"/>
        <w:jc w:val="both"/>
        <w:spacing w:before="0" w:after="0" w:afterAutospacing="0" w:line="276" w:lineRule="auto"/>
        <w:widowControl w:val="off"/>
        <w:tabs>
          <w:tab w:val="left" w:pos="1134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none"/>
          <w:lang w:val="ru-RU"/>
        </w:rPr>
      </w:r>
      <w:r>
        <w:rPr>
          <w:rFonts w:ascii="Times New Roman" w:hAnsi="Times New Roman"/>
          <w:sz w:val="20"/>
          <w:szCs w:val="20"/>
          <w:lang w:val="ru-RU"/>
        </w:rPr>
        <w:t xml:space="preserve">Наиболее эффективным ис</w:t>
      </w:r>
      <w:r>
        <w:rPr>
          <w:rFonts w:ascii="Times New Roman" w:hAnsi="Times New Roman"/>
          <w:sz w:val="20"/>
          <w:szCs w:val="20"/>
          <w:lang w:val="ru-RU"/>
        </w:rPr>
        <w:t xml:space="preserve">пользованием помещения</w:t>
      </w:r>
      <w:r>
        <w:rPr>
          <w:rFonts w:ascii="Times New Roman" w:hAnsi="Times New Roman"/>
          <w:sz w:val="20"/>
          <w:szCs w:val="20"/>
          <w:lang w:val="ru-RU"/>
        </w:rPr>
        <w:t xml:space="preserve"> с </w:t>
      </w:r>
      <w:r>
        <w:rPr>
          <w:rFonts w:ascii="Times New Roman" w:hAnsi="Times New Roman"/>
          <w:sz w:val="20"/>
          <w:szCs w:val="20"/>
          <w:lang w:val="ru-RU"/>
        </w:rPr>
        <w:t xml:space="preserve">кадастровым номером</w:t>
      </w:r>
      <w:r>
        <w:rPr>
          <w:rFonts w:ascii="Times New Roman" w:hAnsi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 xml:space="preserve">29:24:030210:3882</w:t>
      </w:r>
      <w:r>
        <w:rPr>
          <w:rFonts w:ascii="Times New Roman" w:hAnsi="Times New Roman"/>
          <w:sz w:val="20"/>
          <w:szCs w:val="20"/>
          <w:lang w:val="ru-RU"/>
        </w:rPr>
        <w:t xml:space="preserve"> является использование в качестве объекта торгового назначения</w:t>
      </w:r>
      <w:r>
        <w:rPr>
          <w:rFonts w:ascii="Times New Roman" w:hAnsi="Times New Roman"/>
          <w:sz w:val="20"/>
          <w:szCs w:val="20"/>
          <w:lang w:val="ru-RU"/>
        </w:rPr>
        <w:t xml:space="preserve">.</w:t>
      </w:r>
      <w:r>
        <w:rPr>
          <w:rFonts w:ascii="Times New Roman" w:hAnsi="Times New Roman" w:eastAsia="Times New Roman" w:cs="Times New Roman"/>
          <w:sz w:val="20"/>
          <w:szCs w:val="20"/>
          <w:highlight w:val="none"/>
          <w:lang w:val="ru-RU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  <w:lang w:val="ru-RU"/>
        </w:rPr>
      </w:r>
    </w:p>
    <w:p>
      <w:pPr>
        <w:jc w:val="left"/>
        <w:spacing w:after="0" w:afterAutospacing="0" w:line="276" w:lineRule="auto"/>
        <w:widowControl w:val="off"/>
        <w:rPr>
          <w:rFonts w:ascii="Times New Roman" w:hAnsi="Times New Roman" w:cs="Times New Roman"/>
          <w:b/>
          <w:bCs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б) Обременения: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lang w:val="ru-RU"/>
        </w:rPr>
        <w:t xml:space="preserve"> а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ренда, часть объекта, с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рок действия с 23.01.2019 по 31.12.2028,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обременитель - АО «Тандер».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lang w:val="ru-RU"/>
        </w:rPr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</w:p>
    <w:p>
      <w:pPr>
        <w:ind w:left="0" w:right="0" w:firstLine="0"/>
        <w:jc w:val="both"/>
        <w:spacing w:before="0" w:after="0" w:afterAutospacing="0" w:line="276" w:lineRule="auto"/>
        <w:widowControl w:val="off"/>
        <w:tabs>
          <w:tab w:val="left" w:pos="1134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highlight w:val="none"/>
          <w:lang w:val="ru-RU"/>
        </w:rPr>
        <w:t xml:space="preserve">в) 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Начальная цена имущест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ва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: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12 280 443 (двенадцать миллионов двести восемьдесят тысяч четыреста сорок три) руб. 00 коп.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, в том числе НДС 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(22%)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 –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2 214 506 (два миллиона двести четырнадцать тысяч пятьсот шесть) рублей 11 коп.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г) Задаток (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1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0% от начальной цены продажи): 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lang w:val="ru-RU"/>
        </w:rPr>
        <w:t xml:space="preserve">1 228 044 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lang w:val="ru-RU"/>
        </w:rPr>
        <w:t xml:space="preserve">руб. 30 коп.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lang w:val="ru-RU"/>
        </w:rPr>
        <w:t xml:space="preserve">;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</w:rPr>
      </w:r>
    </w:p>
    <w:p>
      <w:pPr>
        <w:ind w:left="0" w:firstLine="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д) Шаг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 аукциона (5% от начальной цены продажи):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 614 022 руб. 15 коп.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;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е) Местонахождение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 имущества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: 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Российская Федерация, Архангельская область, городской округ Котлас, город Котлас, проспект Мира, дом 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29, помещение 5н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.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в 5-этажном жилом доме с кадастровым номером 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29:24:030210:3878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, площадью 6152,8 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кв.м. по адресу: 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Российская Федерация, Архангельская область, г.о. Котлас, г. Котлас, пр-кт Мира, д. 29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.</w:t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before="0" w:beforeAutospacing="0" w:after="0" w:afterAutospacing="0" w:line="276" w:lineRule="auto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ж) Информация о 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предыд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ущих торгах по продаже указанного имущества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 (по актуализированной (действующей) стоимости)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, объявленных в течение года, предшествующего его продаже, и об итогах торгов по продаже имущества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: торги по продаже указанного имущества ранее не объявлялись.</w:t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none"/>
        </w:rPr>
      </w:r>
    </w:p>
    <w:p>
      <w:pPr>
        <w:ind w:left="0" w:firstLine="0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Место подачи заявки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на участие в аук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ционе по приобретению 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государственного имущества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: </w:t>
      </w:r>
      <w:r>
        <w:rPr>
          <w:rStyle w:val="1162"/>
          <w:rFonts w:ascii="Times New Roman" w:hAnsi="Times New Roman" w:eastAsia="Times New Roman" w:cs="Times New Roman"/>
          <w:b/>
          <w:sz w:val="20"/>
          <w:szCs w:val="20"/>
          <w:lang w:val="ru-RU"/>
        </w:rPr>
        <w:fldChar w:fldCharType="begin"/>
      </w:r>
      <w:r>
        <w:rPr>
          <w:rStyle w:val="1162"/>
          <w:rFonts w:ascii="Times New Roman" w:hAnsi="Times New Roman" w:eastAsia="Times New Roman" w:cs="Times New Roman"/>
          <w:b/>
          <w:sz w:val="20"/>
          <w:szCs w:val="20"/>
          <w:lang w:val="en-US"/>
        </w:rPr>
        <w:instrText xml:space="preserve">HYPERLINK "https://www.rts-tender.ru/"</w:instrText>
      </w:r>
      <w:r>
        <w:rPr>
          <w:rStyle w:val="1162"/>
          <w:rFonts w:ascii="Times New Roman" w:hAnsi="Times New Roman" w:eastAsia="Times New Roman" w:cs="Times New Roman"/>
          <w:b/>
          <w:sz w:val="20"/>
          <w:szCs w:val="20"/>
          <w:lang w:val="en-US"/>
        </w:rPr>
        <w:fldChar w:fldCharType="separate"/>
      </w:r>
      <w:r>
        <w:rPr>
          <w:rStyle w:val="1162"/>
          <w:rFonts w:ascii="Times New Roman" w:hAnsi="Times New Roman" w:eastAsia="Times New Roman" w:cs="Times New Roman"/>
          <w:b/>
          <w:sz w:val="20"/>
          <w:szCs w:val="20"/>
          <w:lang w:val="en-US"/>
        </w:rPr>
        <w:t xml:space="preserve">https://www.rts-tender.ru/</w:t>
      </w:r>
      <w:r>
        <w:rPr>
          <w:rStyle w:val="1162"/>
          <w:rFonts w:ascii="Times New Roman" w:hAnsi="Times New Roman" w:eastAsia="Times New Roman" w:cs="Times New Roman"/>
          <w:b/>
          <w:sz w:val="20"/>
          <w:szCs w:val="20"/>
          <w:lang w:val="en-US"/>
        </w:rPr>
        <w:fldChar w:fldCharType="end"/>
      </w:r>
      <w:r>
        <w:rPr>
          <w:rFonts w:ascii="Times New Roman" w:hAnsi="Times New Roman" w:eastAsia="Times New Roman" w:cs="Times New Roman"/>
          <w:b/>
          <w:color w:val="000000"/>
          <w:sz w:val="20"/>
          <w:szCs w:val="20"/>
          <w:lang w:val="en-US"/>
        </w:rPr>
        <w:t xml:space="preserve">. 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lang w:val="ru-RU"/>
        </w:rPr>
        <w:t xml:space="preserve">Претендент должен пройти регистрацию на электронной площадке </w:t>
      </w:r>
      <w:r>
        <w:rPr>
          <w:rFonts w:ascii="Times New Roman" w:hAnsi="Times New Roman" w:eastAsia="Times New Roman" w:cs="Times New Roman"/>
          <w:b/>
          <w:color w:val="000000"/>
          <w:sz w:val="20"/>
          <w:szCs w:val="20"/>
          <w:lang w:val="ru-RU"/>
        </w:rPr>
        <w:t xml:space="preserve">ООО «РТС - тендер» </w:t>
      </w:r>
      <w:r>
        <w:rPr>
          <w:rStyle w:val="1162"/>
          <w:rFonts w:ascii="Times New Roman" w:hAnsi="Times New Roman" w:eastAsia="Times New Roman" w:cs="Times New Roman"/>
          <w:b/>
          <w:sz w:val="20"/>
          <w:szCs w:val="20"/>
          <w:lang w:val="ru-RU"/>
        </w:rPr>
        <w:fldChar w:fldCharType="begin"/>
      </w:r>
      <w:r>
        <w:rPr>
          <w:rStyle w:val="1162"/>
          <w:rFonts w:ascii="Times New Roman" w:hAnsi="Times New Roman" w:eastAsia="Times New Roman" w:cs="Times New Roman"/>
          <w:b/>
          <w:sz w:val="20"/>
          <w:szCs w:val="20"/>
          <w:lang w:val="en-US"/>
        </w:rPr>
        <w:instrText xml:space="preserve">HYPERLINK "https://www.rts-tender.ru/"</w:instrText>
      </w:r>
      <w:r>
        <w:rPr>
          <w:rStyle w:val="1162"/>
          <w:rFonts w:ascii="Times New Roman" w:hAnsi="Times New Roman" w:eastAsia="Times New Roman" w:cs="Times New Roman"/>
          <w:b/>
          <w:sz w:val="20"/>
          <w:szCs w:val="20"/>
          <w:lang w:val="en-US"/>
        </w:rPr>
        <w:fldChar w:fldCharType="separate"/>
      </w:r>
      <w:r>
        <w:rPr>
          <w:rStyle w:val="1162"/>
          <w:rFonts w:ascii="Times New Roman" w:hAnsi="Times New Roman" w:eastAsia="Times New Roman" w:cs="Times New Roman"/>
          <w:b/>
          <w:sz w:val="20"/>
          <w:szCs w:val="20"/>
          <w:lang w:val="en-US"/>
        </w:rPr>
        <w:t xml:space="preserve">https://www.rts-tender.ru/</w:t>
      </w:r>
      <w:r>
        <w:rPr>
          <w:rStyle w:val="1162"/>
          <w:rFonts w:ascii="Times New Roman" w:hAnsi="Times New Roman" w:eastAsia="Times New Roman" w:cs="Times New Roman"/>
          <w:b/>
          <w:sz w:val="20"/>
          <w:szCs w:val="20"/>
          <w:lang w:val="en-US"/>
        </w:rPr>
        <w:fldChar w:fldCharType="end"/>
      </w:r>
      <w:r>
        <w:rPr>
          <w:rFonts w:ascii="Times New Roman" w:hAnsi="Times New Roman" w:eastAsia="Times New Roman" w:cs="Times New Roman"/>
          <w:b/>
          <w:color w:val="000000"/>
          <w:sz w:val="20"/>
          <w:szCs w:val="20"/>
          <w:lang w:val="en-US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val="ru-RU"/>
        </w:rPr>
        <w:t xml:space="preserve">После регистрации на элект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val="ru-RU"/>
        </w:rPr>
        <w:t xml:space="preserve">ронной площадке направляет оператору электронной площадки заявку и прилагаемые к ней электронные документы.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Заявка подается путем заполнения ее электронной формы, размещенной в открытой части электронной площадки (приложение к настоящему Информационному сообщению), с приложением электронных документов по адресу торговой электронной площадки в сети «Интернет»: </w:t>
      </w:r>
      <w:r>
        <w:rPr>
          <w:rFonts w:ascii="Times New Roman" w:hAnsi="Times New Roman" w:eastAsia="Times New Roman" w:cs="Times New Roman"/>
          <w:b/>
          <w:color w:val="000000"/>
          <w:sz w:val="20"/>
          <w:szCs w:val="20"/>
          <w:lang w:val="ru-RU"/>
        </w:rPr>
        <w:t xml:space="preserve">ООО «РТС - тендер» </w:t>
      </w:r>
      <w:r>
        <w:rPr>
          <w:rStyle w:val="1162"/>
          <w:rFonts w:ascii="Times New Roman" w:hAnsi="Times New Roman" w:eastAsia="Times New Roman" w:cs="Times New Roman"/>
          <w:b/>
          <w:sz w:val="20"/>
          <w:szCs w:val="20"/>
          <w:lang w:val="ru-RU"/>
        </w:rPr>
        <w:fldChar w:fldCharType="begin"/>
      </w:r>
      <w:r>
        <w:rPr>
          <w:rStyle w:val="1162"/>
          <w:rFonts w:ascii="Times New Roman" w:hAnsi="Times New Roman" w:eastAsia="Times New Roman" w:cs="Times New Roman"/>
          <w:b/>
          <w:sz w:val="20"/>
          <w:szCs w:val="20"/>
          <w:lang w:val="en-US"/>
        </w:rPr>
        <w:instrText xml:space="preserve">HYPERLINK "https://www.rts-tender.ru/"</w:instrText>
      </w:r>
      <w:r>
        <w:rPr>
          <w:rStyle w:val="1162"/>
          <w:rFonts w:ascii="Times New Roman" w:hAnsi="Times New Roman" w:eastAsia="Times New Roman" w:cs="Times New Roman"/>
          <w:b/>
          <w:sz w:val="20"/>
          <w:szCs w:val="20"/>
          <w:lang w:val="en-US"/>
        </w:rPr>
        <w:fldChar w:fldCharType="separate"/>
      </w:r>
      <w:r>
        <w:rPr>
          <w:rStyle w:val="1162"/>
          <w:rFonts w:ascii="Times New Roman" w:hAnsi="Times New Roman" w:eastAsia="Times New Roman" w:cs="Times New Roman"/>
          <w:b/>
          <w:sz w:val="20"/>
          <w:szCs w:val="20"/>
          <w:lang w:val="en-US"/>
        </w:rPr>
        <w:t xml:space="preserve">https://www.rts-tender.ru/</w:t>
      </w:r>
      <w:r>
        <w:rPr>
          <w:rStyle w:val="1162"/>
          <w:rFonts w:ascii="Times New Roman" w:hAnsi="Times New Roman" w:eastAsia="Times New Roman" w:cs="Times New Roman"/>
          <w:b/>
          <w:sz w:val="20"/>
          <w:szCs w:val="20"/>
          <w:lang w:val="en-US"/>
        </w:rPr>
        <w:fldChar w:fldCharType="end"/>
      </w:r>
      <w:r>
        <w:rPr>
          <w:rFonts w:ascii="Times New Roman" w:hAnsi="Times New Roman" w:eastAsia="Times New Roman" w:cs="Times New Roman"/>
          <w:b/>
          <w:color w:val="000000"/>
          <w:sz w:val="20"/>
          <w:szCs w:val="20"/>
          <w:lang w:val="en-US"/>
        </w:rPr>
        <w:t xml:space="preserve">.</w:t>
      </w:r>
      <w:r>
        <w:rPr>
          <w:rFonts w:ascii="Times New Roman" w:hAnsi="Times New Roman" w:eastAsia="Times New Roman" w:cs="Times New Roman"/>
          <w:b/>
          <w:color w:val="000000"/>
          <w:sz w:val="20"/>
          <w:szCs w:val="20"/>
          <w:lang w:val="en-US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highlight w:val="none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0"/>
          <w:szCs w:val="20"/>
          <w:highlight w:val="none"/>
        </w:rPr>
        <w:t xml:space="preserve">Плата за участие в продаже имущества с участников,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0"/>
          <w:szCs w:val="20"/>
          <w:highlight w:val="none"/>
        </w:rPr>
        <w:t xml:space="preserve">в том числе с лица, с которым по результатам продажи имущества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0"/>
          <w:szCs w:val="20"/>
          <w:highlight w:val="none"/>
        </w:rPr>
        <w:t xml:space="preserve">заключается договор купли-продажи имущества, оператором электронной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0"/>
          <w:szCs w:val="20"/>
          <w:highlight w:val="none"/>
        </w:rPr>
        <w:t xml:space="preserve">площадки не взимается.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b/>
          <w:color w:val="000000"/>
          <w:sz w:val="20"/>
          <w:szCs w:val="20"/>
          <w:highlight w:val="yellow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Дата 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и время 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начала приема заявок на участие в 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электронном 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аукционе 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– 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«31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»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 июля 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2026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 г.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 00:00 (время московское).</w:t>
      </w:r>
      <w:r>
        <w:rPr>
          <w:rFonts w:ascii="Times New Roman" w:hAnsi="Times New Roman" w:eastAsia="Times New Roman" w:cs="Times New Roman"/>
          <w:b/>
          <w:color w:val="000000"/>
          <w:sz w:val="20"/>
          <w:szCs w:val="20"/>
          <w:highlight w:val="yellow"/>
        </w:rPr>
      </w:r>
      <w:r>
        <w:rPr>
          <w:rFonts w:ascii="Times New Roman" w:hAnsi="Times New Roman" w:cs="Times New Roman"/>
          <w:b/>
          <w:color w:val="000000"/>
          <w:sz w:val="20"/>
          <w:szCs w:val="20"/>
          <w:highlight w:val="yellow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Дата окончания приема заявок на участие в 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электронном 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аукционе 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–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«25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» августа 2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026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 г.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 23:55 (время московское).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Подача заявок осуществляется круглосуточно.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b/>
          <w:color w:val="000000"/>
          <w:sz w:val="20"/>
          <w:szCs w:val="20"/>
          <w:highlight w:val="yellow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Дата и место определения участников аукциона: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 «31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» августа 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2026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 года в 11.00 (время московское) </w:t>
      </w:r>
      <w:r>
        <w:rPr>
          <w:rStyle w:val="1162"/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fldChar w:fldCharType="begin"/>
      </w:r>
      <w:r>
        <w:rPr>
          <w:rStyle w:val="1162"/>
          <w:rFonts w:ascii="Times New Roman" w:hAnsi="Times New Roman" w:eastAsia="Times New Roman" w:cs="Times New Roman"/>
          <w:b/>
          <w:sz w:val="20"/>
          <w:szCs w:val="20"/>
          <w:highlight w:val="yellow"/>
          <w:lang w:val="en-US"/>
        </w:rPr>
        <w:instrText xml:space="preserve">HYPERLINK "https://www.rts-tender.ru/"</w:instrText>
      </w:r>
      <w:r>
        <w:rPr>
          <w:rStyle w:val="1162"/>
          <w:rFonts w:ascii="Times New Roman" w:hAnsi="Times New Roman" w:eastAsia="Times New Roman" w:cs="Times New Roman"/>
          <w:b/>
          <w:sz w:val="20"/>
          <w:szCs w:val="20"/>
          <w:highlight w:val="yellow"/>
          <w:lang w:val="en-US"/>
        </w:rPr>
        <w:fldChar w:fldCharType="separate"/>
      </w:r>
      <w:r>
        <w:rPr>
          <w:rStyle w:val="1162"/>
          <w:rFonts w:ascii="Times New Roman" w:hAnsi="Times New Roman" w:eastAsia="Times New Roman" w:cs="Times New Roman"/>
          <w:b/>
          <w:sz w:val="20"/>
          <w:szCs w:val="20"/>
          <w:highlight w:val="yellow"/>
          <w:lang w:val="en-US"/>
        </w:rPr>
        <w:t xml:space="preserve">https://www.rts-tender.ru/</w:t>
      </w:r>
      <w:r>
        <w:rPr>
          <w:rStyle w:val="1162"/>
          <w:rFonts w:ascii="Times New Roman" w:hAnsi="Times New Roman" w:eastAsia="Times New Roman" w:cs="Times New Roman"/>
          <w:b/>
          <w:sz w:val="20"/>
          <w:szCs w:val="20"/>
          <w:highlight w:val="yellow"/>
          <w:lang w:val="en-US"/>
        </w:rPr>
        <w:fldChar w:fldCharType="end"/>
      </w:r>
      <w:r>
        <w:rPr>
          <w:rFonts w:ascii="Times New Roman" w:hAnsi="Times New Roman" w:eastAsia="Times New Roman" w:cs="Times New Roman"/>
          <w:b/>
          <w:color w:val="000000"/>
          <w:sz w:val="20"/>
          <w:szCs w:val="20"/>
          <w:highlight w:val="yellow"/>
          <w:lang w:val="en-US"/>
        </w:rPr>
        <w:t xml:space="preserve">.</w:t>
      </w:r>
      <w:r>
        <w:rPr>
          <w:rFonts w:ascii="Times New Roman" w:hAnsi="Times New Roman" w:eastAsia="Times New Roman" w:cs="Times New Roman"/>
          <w:b/>
          <w:color w:val="000000"/>
          <w:sz w:val="20"/>
          <w:szCs w:val="20"/>
          <w:highlight w:val="yellow"/>
        </w:rPr>
      </w:r>
      <w:r>
        <w:rPr>
          <w:rFonts w:ascii="Times New Roman" w:hAnsi="Times New Roman" w:cs="Times New Roman"/>
          <w:b/>
          <w:color w:val="000000"/>
          <w:sz w:val="20"/>
          <w:szCs w:val="20"/>
          <w:highlight w:val="yellow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Дата, время и место 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проведения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 аукциона: </w:t>
      </w:r>
      <w:r>
        <w:rPr>
          <w:rFonts w:ascii="Times New Roman" w:hAnsi="Times New Roman" w:eastAsia="Times New Roman" w:cs="Times New Roman"/>
          <w:b w:val="0"/>
          <w:sz w:val="20"/>
          <w:szCs w:val="20"/>
          <w:highlight w:val="yellow"/>
          <w:lang w:val="ru-RU"/>
        </w:rPr>
        <w:t xml:space="preserve">«01</w:t>
      </w:r>
      <w:r>
        <w:rPr>
          <w:rFonts w:ascii="Times New Roman" w:hAnsi="Times New Roman" w:eastAsia="Times New Roman" w:cs="Times New Roman"/>
          <w:b w:val="0"/>
          <w:sz w:val="20"/>
          <w:szCs w:val="20"/>
          <w:highlight w:val="yellow"/>
          <w:lang w:val="ru-RU"/>
        </w:rPr>
        <w:t xml:space="preserve">»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 сентября 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2026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 года в 11.00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 (время 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московское)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  </w:t>
      </w:r>
      <w:r>
        <w:rPr>
          <w:rStyle w:val="1162"/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fldChar w:fldCharType="begin"/>
      </w:r>
      <w:r>
        <w:rPr>
          <w:rStyle w:val="1162"/>
          <w:rFonts w:ascii="Times New Roman" w:hAnsi="Times New Roman" w:eastAsia="Times New Roman" w:cs="Times New Roman"/>
          <w:sz w:val="20"/>
          <w:szCs w:val="20"/>
          <w:highlight w:val="yellow"/>
          <w:lang w:val="en-US"/>
        </w:rPr>
        <w:instrText xml:space="preserve">HYPERLINK "https://www.rts-tender.ru/"</w:instrText>
      </w:r>
      <w:r>
        <w:rPr>
          <w:rStyle w:val="1162"/>
          <w:rFonts w:ascii="Times New Roman" w:hAnsi="Times New Roman" w:eastAsia="Times New Roman" w:cs="Times New Roman"/>
          <w:sz w:val="20"/>
          <w:szCs w:val="20"/>
          <w:highlight w:val="yellow"/>
          <w:lang w:val="en-US"/>
        </w:rPr>
        <w:fldChar w:fldCharType="separate"/>
      </w:r>
      <w:r>
        <w:rPr>
          <w:rStyle w:val="1162"/>
          <w:rFonts w:ascii="Times New Roman" w:hAnsi="Times New Roman" w:eastAsia="Times New Roman" w:cs="Times New Roman"/>
          <w:sz w:val="20"/>
          <w:szCs w:val="20"/>
          <w:highlight w:val="yellow"/>
          <w:lang w:val="en-US"/>
        </w:rPr>
        <w:t xml:space="preserve">https://www.rts-tender.ru/</w:t>
      </w:r>
      <w:r>
        <w:rPr>
          <w:rStyle w:val="1162"/>
          <w:rFonts w:ascii="Times New Roman" w:hAnsi="Times New Roman" w:eastAsia="Times New Roman" w:cs="Times New Roman"/>
          <w:sz w:val="20"/>
          <w:szCs w:val="20"/>
          <w:highlight w:val="yellow"/>
          <w:lang w:val="en-US"/>
        </w:rPr>
        <w:fldChar w:fldCharType="end"/>
      </w: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yellow"/>
          <w:lang w:val="en-US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Дата, время и место подведения итогов аукциона: 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«01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» сентября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 2026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 года по фактическому окончанию 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торгов  </w:t>
      </w:r>
      <w:r>
        <w:rPr>
          <w:rStyle w:val="1162"/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fldChar w:fldCharType="begin"/>
      </w:r>
      <w:r>
        <w:rPr>
          <w:rStyle w:val="1162"/>
          <w:rFonts w:ascii="Times New Roman" w:hAnsi="Times New Roman" w:eastAsia="Times New Roman" w:cs="Times New Roman"/>
          <w:sz w:val="20"/>
          <w:szCs w:val="20"/>
          <w:highlight w:val="yellow"/>
          <w:lang w:val="en-US"/>
        </w:rPr>
        <w:instrText xml:space="preserve">HYPERLINK "https://www.rts-tender.ru/"</w:instrText>
      </w:r>
      <w:r>
        <w:rPr>
          <w:rStyle w:val="1162"/>
          <w:rFonts w:ascii="Times New Roman" w:hAnsi="Times New Roman" w:eastAsia="Times New Roman" w:cs="Times New Roman"/>
          <w:sz w:val="20"/>
          <w:szCs w:val="20"/>
          <w:highlight w:val="yellow"/>
          <w:lang w:val="en-US"/>
        </w:rPr>
        <w:fldChar w:fldCharType="separate"/>
      </w:r>
      <w:r>
        <w:rPr>
          <w:rStyle w:val="1162"/>
          <w:rFonts w:ascii="Times New Roman" w:hAnsi="Times New Roman" w:eastAsia="Times New Roman" w:cs="Times New Roman"/>
          <w:sz w:val="20"/>
          <w:szCs w:val="20"/>
          <w:highlight w:val="yellow"/>
          <w:lang w:val="en-US"/>
        </w:rPr>
        <w:t xml:space="preserve">https://www.rts-tender.ru/</w:t>
      </w:r>
      <w:r>
        <w:rPr>
          <w:rStyle w:val="1162"/>
          <w:rFonts w:ascii="Times New Roman" w:hAnsi="Times New Roman" w:eastAsia="Times New Roman" w:cs="Times New Roman"/>
          <w:sz w:val="20"/>
          <w:szCs w:val="20"/>
          <w:highlight w:val="yellow"/>
          <w:lang w:val="en-US"/>
        </w:rPr>
        <w:fldChar w:fldCharType="end"/>
      </w: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yellow"/>
          <w:lang w:val="en-US"/>
        </w:rPr>
        <w:t xml:space="preserve">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Заявки с прилагаемыми к ним документами, поданные с нарушением установленного срока, на электронной площадке не регистрируются. 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Любое лицо независимо от регистрации на электронной площадке вправе направить на электронный адрес оператора электронной площадки, указанный в информационном сообщении о проведении продажи имущества, запрос о разъяснении размещенной информации.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Документооборот между претендентами, участниками, оператором электронной площадки и продавцом осуществляется через электронную площадку в форме электронных документов либо электронных образов документов (документов на бумажном носителе, пре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образованных в электронно-цифровую форму путем сканирования с сохранением их реквизитов), заверенных электронной подписью продавца, претендента или участника либо лица, имеющего право действовать от имени соответственно продавца, претендента или участника.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Э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лектронные документы, направляемые оператором электронной площадки либо размещенные им на электронной площадке, должны быть подписаны усиленной квалифицированной электронной подписью лица, имеющего право действовать от имени оператора электронной площадки.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участника, продавца либо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оператора электронной площадки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и отправитель несет ответственность за подлинность и достоверность таких документов и сведений.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pacing w:val="-2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color w:val="000000"/>
          <w:sz w:val="20"/>
          <w:szCs w:val="20"/>
          <w:u w:val="single"/>
          <w:lang w:val="ru-RU"/>
        </w:rPr>
        <w:t xml:space="preserve">Перечень </w:t>
      </w:r>
      <w:r>
        <w:rPr>
          <w:rFonts w:ascii="Times New Roman" w:hAnsi="Times New Roman" w:eastAsia="Times New Roman" w:cs="Times New Roman"/>
          <w:b/>
          <w:color w:val="000000"/>
          <w:sz w:val="20"/>
          <w:szCs w:val="20"/>
          <w:u w:val="single"/>
          <w:lang w:val="ru-RU"/>
        </w:rPr>
        <w:t xml:space="preserve">документов</w:t>
      </w:r>
      <w:r>
        <w:rPr>
          <w:rFonts w:ascii="Times New Roman" w:hAnsi="Times New Roman" w:eastAsia="Times New Roman" w:cs="Times New Roman"/>
          <w:b/>
          <w:color w:val="000000"/>
          <w:sz w:val="20"/>
          <w:szCs w:val="20"/>
          <w:u w:val="single"/>
          <w:lang w:val="ru-RU"/>
        </w:rPr>
        <w:t xml:space="preserve"> представляемых участниками аукциона и требования к их оформлению:</w:t>
      </w:r>
      <w:r>
        <w:rPr>
          <w:rFonts w:ascii="Times New Roman" w:hAnsi="Times New Roman" w:eastAsia="Times New Roman" w:cs="Times New Roman"/>
          <w:b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Одно лицо имеет право подать только одну заявку. О</w:t>
      </w:r>
      <w:r>
        <w:rPr>
          <w:rFonts w:ascii="Times New Roman" w:hAnsi="Times New Roman" w:eastAsia="Times New Roman" w:cs="Times New Roman"/>
          <w:spacing w:val="-2"/>
          <w:sz w:val="20"/>
          <w:szCs w:val="20"/>
          <w:lang w:val="ru-RU"/>
        </w:rPr>
        <w:t xml:space="preserve">дновременно с Заявкой</w:t>
      </w:r>
      <w:r>
        <w:rPr>
          <w:rFonts w:ascii="Times New Roman" w:hAnsi="Times New Roman" w:eastAsia="Times New Roman" w:cs="Times New Roman"/>
          <w:spacing w:val="-2"/>
          <w:sz w:val="20"/>
          <w:szCs w:val="20"/>
          <w:lang w:val="ru-RU"/>
        </w:rPr>
        <w:t xml:space="preserve"> (Приложение 1)</w:t>
      </w:r>
      <w:r>
        <w:rPr>
          <w:rFonts w:ascii="Times New Roman" w:hAnsi="Times New Roman" w:eastAsia="Times New Roman" w:cs="Times New Roman"/>
          <w:spacing w:val="-2"/>
          <w:sz w:val="20"/>
          <w:szCs w:val="20"/>
          <w:lang w:val="ru-RU"/>
        </w:rPr>
        <w:t xml:space="preserve"> на участие в аукционе Претенденты представляют следующие документы в форме электронных документов либо электронных образов документов, заверенных электронной подписью:</w:t>
      </w:r>
      <w:r>
        <w:rPr>
          <w:rFonts w:ascii="Times New Roman" w:hAnsi="Times New Roman" w:eastAsia="Times New Roman" w:cs="Times New Roman"/>
          <w:spacing w:val="-2"/>
          <w:sz w:val="20"/>
          <w:szCs w:val="20"/>
        </w:rPr>
      </w:r>
      <w:r>
        <w:rPr>
          <w:rFonts w:ascii="Times New Roman" w:hAnsi="Times New Roman" w:cs="Times New Roman"/>
          <w:spacing w:val="-2"/>
          <w:sz w:val="20"/>
          <w:szCs w:val="20"/>
        </w:rPr>
      </w:r>
    </w:p>
    <w:p>
      <w:pPr>
        <w:pStyle w:val="1153"/>
        <w:numPr>
          <w:ilvl w:val="0"/>
          <w:numId w:val="4"/>
        </w:numPr>
        <w:ind w:left="0" w:firstLine="0"/>
        <w:spacing w:after="0" w:afterAutospacing="0" w:line="276" w:lineRule="auto"/>
        <w:widowControl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Доверенность на лицо, имеющее право действовать от имени претендента, если заявка подается представителем претендента, оформленная </w:t>
      </w:r>
      <w:r>
        <w:rPr>
          <w:rStyle w:val="1088"/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в установленном порядке, или нотариально заверенная копия такой доверенности</w:t>
      </w:r>
      <w:r>
        <w:rPr>
          <w:rStyle w:val="1088"/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 (в</w:t>
      </w:r>
      <w:r>
        <w:rPr>
          <w:rFonts w:ascii="Times New Roman" w:hAnsi="Times New Roman" w:eastAsia="Times New Roman" w:cs="Times New Roman"/>
          <w:spacing w:val="-2"/>
          <w:sz w:val="20"/>
          <w:szCs w:val="20"/>
          <w:lang w:val="ru-RU"/>
        </w:rPr>
        <w:t xml:space="preserve">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</w:t>
      </w:r>
      <w:r>
        <w:rPr>
          <w:rStyle w:val="1088"/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)</w:t>
      </w:r>
      <w:r>
        <w:rPr>
          <w:rStyle w:val="1088"/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.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Доверенность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или нотариально заверенная копия такой доверенности должны быть оформлены в установленном порядке.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1153"/>
        <w:numPr>
          <w:ilvl w:val="0"/>
          <w:numId w:val="4"/>
        </w:numPr>
        <w:ind w:left="0" w:firstLine="0"/>
        <w:spacing w:after="0" w:afterAutospacing="0" w:line="276" w:lineRule="auto"/>
        <w:widowControl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Претенденты физические лица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и индивидуальные предприниматели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предъявляют документ, удостоверяющий личность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(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копии всех его листов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)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; 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numPr>
          <w:ilvl w:val="0"/>
          <w:numId w:val="4"/>
        </w:num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  <w:shd w:val="clear" w:color="auto" w:fill="4bf357"/>
        </w:rPr>
      </w:pPr>
      <w:r>
        <w:rPr>
          <w:rFonts w:ascii="Times New Roman" w:hAnsi="Times New Roman" w:eastAsia="Times New Roman" w:cs="Times New Roman"/>
          <w:sz w:val="20"/>
          <w:szCs w:val="20"/>
          <w:shd w:val="clear" w:color="auto" w:fill="4bf357"/>
          <w:lang w:val="ru-RU"/>
        </w:rPr>
        <w:t xml:space="preserve">Претенденты физические лица </w:t>
      </w:r>
      <w:r>
        <w:rPr>
          <w:rFonts w:ascii="Times New Roman" w:hAnsi="Times New Roman" w:eastAsia="Times New Roman" w:cs="Times New Roman"/>
          <w:sz w:val="20"/>
          <w:szCs w:val="20"/>
          <w:shd w:val="clear" w:color="auto" w:fill="4bf357"/>
          <w:lang w:val="ru-RU"/>
        </w:rPr>
        <w:t xml:space="preserve">и индивидуальные предприниматели</w:t>
      </w:r>
      <w:r>
        <w:rPr>
          <w:rFonts w:ascii="Times New Roman" w:hAnsi="Times New Roman" w:eastAsia="Times New Roman" w:cs="Times New Roman"/>
          <w:sz w:val="20"/>
          <w:szCs w:val="20"/>
          <w:shd w:val="clear" w:color="auto" w:fill="4bf357"/>
          <w:lang w:val="ru-RU"/>
        </w:rPr>
        <w:t xml:space="preserve"> предъявляют СОГЛАСИЕ НА ОБРАБОТКУ ПЕРСОНАЛЬНЫХ ДАННЫХ  В ВИДЕ ОТДЕЛЬНОГО ДОКУМЕНТА, СОГЛАСНО ПРИЛОЖЕНИЮ К ИНФОРМАЦИОННОМУ СООБЩЕНИЮ – в соответствии с </w:t>
      </w:r>
      <w:r>
        <w:rPr>
          <w:rFonts w:ascii="Times New Roman" w:hAnsi="Times New Roman" w:eastAsia="Times New Roman" w:cs="Times New Roman"/>
          <w:sz w:val="20"/>
          <w:szCs w:val="20"/>
          <w:shd w:val="clear" w:color="auto" w:fill="4bf357"/>
          <w:lang w:val="ru-RU"/>
        </w:rPr>
        <w:t xml:space="preserve">изменения в Федеральный закон о</w:t>
      </w:r>
      <w:r>
        <w:rPr>
          <w:rFonts w:ascii="Times New Roman" w:hAnsi="Times New Roman" w:eastAsia="Times New Roman" w:cs="Times New Roman"/>
          <w:sz w:val="20"/>
          <w:szCs w:val="20"/>
          <w:shd w:val="clear" w:color="auto" w:fill="4bf357"/>
          <w:lang w:val="ru-RU"/>
        </w:rPr>
        <w:t xml:space="preserve">т 27.07.2006 № 152-ФЗ «О персональных данных», </w:t>
      </w:r>
      <w:r>
        <w:rPr>
          <w:rFonts w:ascii="Times New Roman" w:hAnsi="Times New Roman" w:eastAsia="Times New Roman" w:cs="Times New Roman"/>
          <w:sz w:val="20"/>
          <w:szCs w:val="20"/>
          <w:shd w:val="clear" w:color="auto" w:fill="4bf357"/>
          <w:lang w:val="ru-RU"/>
        </w:rPr>
        <w:t xml:space="preserve">внесенных Федеральным законом от 24.06.2025 № 156-ФЗ «О создании </w:t>
      </w:r>
      <w:r>
        <w:rPr>
          <w:rFonts w:ascii="Times New Roman" w:hAnsi="Times New Roman" w:eastAsia="Times New Roman" w:cs="Times New Roman"/>
          <w:sz w:val="20"/>
          <w:szCs w:val="20"/>
          <w:shd w:val="clear" w:color="auto" w:fill="4bf357"/>
          <w:lang w:val="ru-RU"/>
        </w:rPr>
        <w:t xml:space="preserve">многофункционального сервиса обмена информацией и о внесении изменений </w:t>
      </w:r>
      <w:r>
        <w:rPr>
          <w:rFonts w:ascii="Times New Roman" w:hAnsi="Times New Roman" w:eastAsia="Times New Roman" w:cs="Times New Roman"/>
          <w:sz w:val="20"/>
          <w:szCs w:val="20"/>
          <w:shd w:val="clear" w:color="auto" w:fill="4bf357"/>
          <w:lang w:val="ru-RU"/>
        </w:rPr>
        <w:t xml:space="preserve">в отдельные законодательные акты Российской Федерации»</w:t>
      </w:r>
      <w:r>
        <w:rPr>
          <w:rFonts w:ascii="Times New Roman" w:hAnsi="Times New Roman" w:eastAsia="Times New Roman" w:cs="Times New Roman"/>
          <w:sz w:val="20"/>
          <w:szCs w:val="20"/>
          <w:shd w:val="clear" w:color="auto" w:fill="4bf357"/>
          <w:lang w:val="ru-RU"/>
        </w:rPr>
        <w:t xml:space="preserve">)</w:t>
      </w:r>
      <w:r>
        <w:rPr>
          <w:rFonts w:ascii="Times New Roman" w:hAnsi="Times New Roman" w:eastAsia="Times New Roman" w:cs="Times New Roman"/>
          <w:sz w:val="20"/>
          <w:szCs w:val="20"/>
          <w:shd w:val="clear" w:color="auto" w:fill="4bf357"/>
          <w:lang w:val="ru-RU"/>
        </w:rPr>
        <w:t xml:space="preserve">.</w:t>
      </w:r>
      <w:r>
        <w:rPr>
          <w:rFonts w:ascii="Times New Roman" w:hAnsi="Times New Roman" w:eastAsia="Times New Roman" w:cs="Times New Roman"/>
          <w:sz w:val="20"/>
          <w:szCs w:val="20"/>
          <w:shd w:val="clear" w:color="auto" w:fill="4bf357"/>
        </w:rPr>
      </w:r>
      <w:r>
        <w:rPr>
          <w:rFonts w:ascii="Times New Roman" w:hAnsi="Times New Roman" w:cs="Times New Roman"/>
          <w:sz w:val="20"/>
          <w:szCs w:val="20"/>
          <w:shd w:val="clear" w:color="auto" w:fill="4bf357"/>
        </w:rPr>
      </w:r>
    </w:p>
    <w:p>
      <w:pPr>
        <w:pStyle w:val="1227"/>
        <w:numPr>
          <w:ilvl w:val="0"/>
          <w:numId w:val="4"/>
        </w:numPr>
        <w:ind w:left="0" w:firstLine="0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Претенденты юридические лица представляют: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1193"/>
        <w:numPr>
          <w:ilvl w:val="0"/>
          <w:numId w:val="5"/>
        </w:num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заверенные копии учредительных документов;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1193"/>
        <w:numPr>
          <w:ilvl w:val="0"/>
          <w:numId w:val="5"/>
        </w:num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документ, содержащий сведения о доле Российской Фе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1193"/>
        <w:numPr>
          <w:ilvl w:val="0"/>
          <w:numId w:val="5"/>
        </w:num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документ, который подтверждает полномочия руководит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енности.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1227"/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Указанные документы (в том числе копии документов) в части их оформления, заверения и содержания должны соответствовать требованиям законодательства Российской Федерации и информационного сообщения.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widowControl w:val="of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Документы, представляемые иностранными лицами, должны быть легализованы в установленном порядке и иметь нотариально заверенный перевод на русский язык. 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widowControl w:val="of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Заявки подаются одновременно с полным комплектом документов, установленным в настоящем информационном сообщении.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widowControl w:val="off"/>
        <w:tabs>
          <w:tab w:val="left" w:pos="0" w:leader="none"/>
          <w:tab w:val="left" w:pos="312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участника, Продавца либо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Организатора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и отправитель несет ответственность за подлинность и достоверность таких документов и сведений.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u w:val="single"/>
          <w:lang w:val="ru-RU"/>
        </w:rPr>
        <w:t xml:space="preserve">Порядок внесения задатка: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В соответствии с частью 6 статьи 18 Федерального закон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а от 21 декабря 2001 года № 178-ФЗ «О приватизации государственного и муниципального имущества», пункта 30 Постановления РФ от 27 августа 2012 года №860 «Об организации и проведении продажи государственного или муниципального имущества в электронной форме»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размер задатка устанавливается в размере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: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- 20 процентов начальной цены, указанной в информационном сообщении о продаже государственного имущества и составляющей 100 миллионов рублей и более;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-10 процентов начальной цены, указанной в информационном сообщении о продаже государственного имущества и составляющей менее 100 миллионов рублей.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Данное информационное сообщение является публичной офертой для з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  <w:highlight w:val="cyan"/>
          <w:shd w:val="clear" w:color="auto" w:fill="92ff99"/>
        </w:rPr>
      </w:pPr>
      <w:r>
        <w:rPr>
          <w:rFonts w:ascii="Times New Roman" w:hAnsi="Times New Roman" w:eastAsia="Times New Roman" w:cs="Times New Roman"/>
          <w:b w:val="0"/>
          <w:sz w:val="20"/>
          <w:szCs w:val="20"/>
          <w:highlight w:val="cyan"/>
          <w:shd w:val="clear" w:color="auto" w:fill="92ff99"/>
          <w:lang w:val="ru-RU"/>
        </w:rPr>
        <w:t xml:space="preserve">Для участия в </w:t>
      </w:r>
      <w:r>
        <w:rPr>
          <w:rFonts w:ascii="Times New Roman" w:hAnsi="Times New Roman" w:eastAsia="Times New Roman" w:cs="Times New Roman"/>
          <w:b w:val="0"/>
          <w:sz w:val="20"/>
          <w:szCs w:val="20"/>
          <w:highlight w:val="cyan"/>
          <w:shd w:val="clear" w:color="auto" w:fill="92ff99"/>
          <w:lang w:val="ru-RU"/>
        </w:rPr>
        <w:t xml:space="preserve">аукционе претендент </w:t>
      </w:r>
      <w:r>
        <w:rPr>
          <w:rFonts w:ascii="Times New Roman" w:hAnsi="Times New Roman" w:eastAsia="Times New Roman" w:cs="Times New Roman"/>
          <w:sz w:val="20"/>
          <w:szCs w:val="20"/>
          <w:highlight w:val="cyan"/>
          <w:lang w:val="ru-RU"/>
        </w:rPr>
        <w:t xml:space="preserve">вносит задаток в валюте Российской </w:t>
      </w:r>
      <w:r>
        <w:rPr>
          <w:rFonts w:ascii="Times New Roman" w:hAnsi="Times New Roman" w:eastAsia="Times New Roman" w:cs="Times New Roman"/>
          <w:sz w:val="20"/>
          <w:szCs w:val="20"/>
          <w:highlight w:val="cyan"/>
          <w:lang w:val="ru-RU"/>
        </w:rPr>
        <w:t xml:space="preserve">Федерации </w:t>
      </w:r>
      <w:r>
        <w:rPr>
          <w:rFonts w:ascii="Times New Roman" w:hAnsi="Times New Roman" w:eastAsia="Times New Roman" w:cs="Times New Roman"/>
          <w:b w:val="0"/>
          <w:sz w:val="20"/>
          <w:szCs w:val="20"/>
          <w:highlight w:val="cyan"/>
          <w:shd w:val="clear" w:color="auto" w:fill="92ff99"/>
          <w:lang w:val="ru-RU"/>
        </w:rPr>
        <w:t xml:space="preserve">на счет оператора электронной площадки 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cyan"/>
          <w:shd w:val="clear" w:color="auto" w:fill="92ff99"/>
          <w:lang w:val="ru-RU"/>
        </w:rPr>
        <w:t xml:space="preserve">«РТС-Тендер»</w:t>
      </w:r>
      <w:r>
        <w:rPr>
          <w:rFonts w:ascii="Times New Roman" w:hAnsi="Times New Roman" w:eastAsia="Times New Roman" w:cs="Times New Roman"/>
          <w:b w:val="0"/>
          <w:sz w:val="20"/>
          <w:szCs w:val="20"/>
          <w:highlight w:val="cyan"/>
          <w:shd w:val="clear" w:color="auto" w:fill="92ff99"/>
          <w:lang w:val="ru-RU"/>
        </w:rPr>
        <w:t xml:space="preserve">.</w:t>
      </w:r>
      <w:r>
        <w:rPr>
          <w:rFonts w:ascii="Times New Roman" w:hAnsi="Times New Roman" w:eastAsia="Times New Roman" w:cs="Times New Roman"/>
          <w:sz w:val="20"/>
          <w:szCs w:val="20"/>
          <w:highlight w:val="cyan"/>
          <w:shd w:val="clear" w:color="auto" w:fill="92ff99"/>
        </w:rPr>
      </w:r>
      <w:r>
        <w:rPr>
          <w:rFonts w:ascii="Times New Roman" w:hAnsi="Times New Roman" w:cs="Times New Roman"/>
          <w:sz w:val="20"/>
          <w:szCs w:val="20"/>
          <w:highlight w:val="cyan"/>
          <w:shd w:val="clear" w:color="auto" w:fill="92ff99"/>
        </w:rPr>
      </w:r>
    </w:p>
    <w:p>
      <w:pPr>
        <w:jc w:val="both"/>
        <w:spacing w:after="0" w:afterAutospacing="0" w:line="276" w:lineRule="auto"/>
        <w:rPr>
          <w:rFonts w:ascii="Times New Roman" w:hAnsi="Times New Roman" w:cs="Times New Roman"/>
          <w:b w:val="0"/>
          <w:bCs w:val="0"/>
          <w:sz w:val="20"/>
          <w:szCs w:val="20"/>
          <w:highlight w:val="cyan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cyan"/>
          <w:shd w:val="clear" w:color="auto" w:fill="92ff99"/>
          <w:lang w:val="ru-RU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cyan"/>
          <w:shd w:val="clear" w:color="auto" w:fill="92ff99"/>
          <w:lang w:val="ru-RU"/>
        </w:rPr>
        <w:t xml:space="preserve">еквизиты счетв электронной площадки «РТС-Тендер»</w:t>
      </w:r>
      <w:r>
        <w:rPr>
          <w:rFonts w:ascii="Times New Roman" w:hAnsi="Times New Roman" w:eastAsia="Times New Roman" w:cs="Times New Roman"/>
          <w:i/>
          <w:sz w:val="20"/>
          <w:szCs w:val="20"/>
          <w:highlight w:val="cyan"/>
          <w:shd w:val="clear" w:color="auto" w:fill="92ff99"/>
          <w:lang w:val="ru-RU"/>
        </w:rPr>
        <w:t xml:space="preserve">: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highlight w:val="cyan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  <w:highlight w:val="cyan"/>
        </w:rPr>
      </w:r>
    </w:p>
    <w:p>
      <w:pPr>
        <w:jc w:val="both"/>
        <w:spacing w:after="0" w:afterAutospacing="0" w:line="276" w:lineRule="auto"/>
        <w:tabs>
          <w:tab w:val="left" w:pos="298" w:leader="none"/>
        </w:tabs>
        <w:rPr>
          <w:rFonts w:ascii="Times New Roman" w:hAnsi="Times New Roman" w:cs="Times New Roman"/>
          <w:color w:val="000000"/>
          <w:sz w:val="20"/>
          <w:szCs w:val="20"/>
          <w:highlight w:val="cyan"/>
          <w:shd w:val="clear" w:color="auto" w:fill="92ff99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cyan"/>
          <w:shd w:val="clear" w:color="auto" w:fill="92ff99"/>
          <w:lang w:val="ru-RU"/>
        </w:rPr>
        <w:t xml:space="preserve">Получатель ООО «РТС-тендер»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cyan"/>
          <w:shd w:val="clear" w:color="auto" w:fill="92ff99"/>
        </w:rPr>
      </w:r>
      <w:r>
        <w:rPr>
          <w:rFonts w:ascii="Times New Roman" w:hAnsi="Times New Roman" w:cs="Times New Roman"/>
          <w:color w:val="000000"/>
          <w:sz w:val="20"/>
          <w:szCs w:val="20"/>
          <w:highlight w:val="cyan"/>
          <w:shd w:val="clear" w:color="auto" w:fill="92ff99"/>
        </w:rPr>
      </w:r>
    </w:p>
    <w:p>
      <w:pPr>
        <w:jc w:val="both"/>
        <w:spacing w:after="0" w:afterAutospacing="0" w:line="276" w:lineRule="auto"/>
        <w:tabs>
          <w:tab w:val="left" w:pos="298" w:leader="none"/>
        </w:tabs>
        <w:rPr>
          <w:rFonts w:ascii="Times New Roman" w:hAnsi="Times New Roman" w:cs="Times New Roman"/>
          <w:color w:val="000000"/>
          <w:sz w:val="20"/>
          <w:szCs w:val="20"/>
          <w:highlight w:val="cyan"/>
          <w:shd w:val="clear" w:color="auto" w:fill="92ff99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cyan"/>
          <w:shd w:val="clear" w:color="auto" w:fill="92ff99"/>
          <w:lang w:val="ru-RU"/>
        </w:rPr>
        <w:t xml:space="preserve">Наименование банка Филиал «Корпоративный» ПАО «СОВКОМБАНК»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cyan"/>
          <w:shd w:val="clear" w:color="auto" w:fill="92ff99"/>
        </w:rPr>
      </w:r>
      <w:r>
        <w:rPr>
          <w:rFonts w:ascii="Times New Roman" w:hAnsi="Times New Roman" w:cs="Times New Roman"/>
          <w:color w:val="000000"/>
          <w:sz w:val="20"/>
          <w:szCs w:val="20"/>
          <w:highlight w:val="cyan"/>
          <w:shd w:val="clear" w:color="auto" w:fill="92ff99"/>
        </w:rPr>
      </w:r>
    </w:p>
    <w:p>
      <w:pPr>
        <w:jc w:val="both"/>
        <w:spacing w:after="0" w:afterAutospacing="0" w:line="276" w:lineRule="auto"/>
        <w:tabs>
          <w:tab w:val="left" w:pos="298" w:leader="none"/>
        </w:tabs>
        <w:rPr>
          <w:rFonts w:ascii="Times New Roman" w:hAnsi="Times New Roman" w:cs="Times New Roman"/>
          <w:color w:val="000000"/>
          <w:sz w:val="20"/>
          <w:szCs w:val="20"/>
          <w:highlight w:val="cyan"/>
          <w:shd w:val="clear" w:color="auto" w:fill="92ff99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cyan"/>
          <w:shd w:val="clear" w:color="auto" w:fill="92ff99"/>
          <w:lang w:val="ru-RU"/>
        </w:rPr>
        <w:t xml:space="preserve">Расчетный счёт 40702810512030016362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cyan"/>
          <w:shd w:val="clear" w:color="auto" w:fill="92ff99"/>
        </w:rPr>
      </w:r>
      <w:r>
        <w:rPr>
          <w:rFonts w:ascii="Times New Roman" w:hAnsi="Times New Roman" w:cs="Times New Roman"/>
          <w:color w:val="000000"/>
          <w:sz w:val="20"/>
          <w:szCs w:val="20"/>
          <w:highlight w:val="cyan"/>
          <w:shd w:val="clear" w:color="auto" w:fill="92ff99"/>
        </w:rPr>
      </w:r>
    </w:p>
    <w:p>
      <w:pPr>
        <w:jc w:val="both"/>
        <w:spacing w:after="0" w:afterAutospacing="0" w:line="276" w:lineRule="auto"/>
        <w:tabs>
          <w:tab w:val="left" w:pos="298" w:leader="none"/>
        </w:tabs>
        <w:rPr>
          <w:rFonts w:ascii="Times New Roman" w:hAnsi="Times New Roman" w:cs="Times New Roman"/>
          <w:color w:val="000000"/>
          <w:sz w:val="20"/>
          <w:szCs w:val="20"/>
          <w:highlight w:val="cyan"/>
          <w:shd w:val="clear" w:color="auto" w:fill="92ff99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cyan"/>
          <w:shd w:val="clear" w:color="auto" w:fill="92ff99"/>
          <w:lang w:val="ru-RU"/>
        </w:rPr>
        <w:t xml:space="preserve">Корр. счёт 30101810445250000360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cyan"/>
          <w:shd w:val="clear" w:color="auto" w:fill="92ff99"/>
        </w:rPr>
      </w:r>
      <w:r>
        <w:rPr>
          <w:rFonts w:ascii="Times New Roman" w:hAnsi="Times New Roman" w:cs="Times New Roman"/>
          <w:color w:val="000000"/>
          <w:sz w:val="20"/>
          <w:szCs w:val="20"/>
          <w:highlight w:val="cyan"/>
          <w:shd w:val="clear" w:color="auto" w:fill="92ff99"/>
        </w:rPr>
      </w:r>
    </w:p>
    <w:p>
      <w:pPr>
        <w:jc w:val="both"/>
        <w:spacing w:after="0" w:afterAutospacing="0" w:line="276" w:lineRule="auto"/>
        <w:tabs>
          <w:tab w:val="left" w:pos="298" w:leader="none"/>
        </w:tabs>
        <w:rPr>
          <w:rFonts w:ascii="Times New Roman" w:hAnsi="Times New Roman" w:cs="Times New Roman"/>
          <w:color w:val="000000"/>
          <w:sz w:val="20"/>
          <w:szCs w:val="20"/>
          <w:highlight w:val="cyan"/>
          <w:shd w:val="clear" w:color="auto" w:fill="92ff99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cyan"/>
          <w:shd w:val="clear" w:color="auto" w:fill="92ff99"/>
          <w:lang w:val="ru-RU"/>
        </w:rPr>
        <w:t xml:space="preserve">БИК 044525360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cyan"/>
          <w:shd w:val="clear" w:color="auto" w:fill="92ff99"/>
        </w:rPr>
      </w:r>
      <w:r>
        <w:rPr>
          <w:rFonts w:ascii="Times New Roman" w:hAnsi="Times New Roman" w:cs="Times New Roman"/>
          <w:color w:val="000000"/>
          <w:sz w:val="20"/>
          <w:szCs w:val="20"/>
          <w:highlight w:val="cyan"/>
          <w:shd w:val="clear" w:color="auto" w:fill="92ff99"/>
        </w:rPr>
      </w:r>
    </w:p>
    <w:p>
      <w:pPr>
        <w:jc w:val="both"/>
        <w:spacing w:after="0" w:afterAutospacing="0" w:line="276" w:lineRule="auto"/>
        <w:tabs>
          <w:tab w:val="left" w:pos="298" w:leader="none"/>
        </w:tabs>
        <w:rPr>
          <w:rFonts w:ascii="Times New Roman" w:hAnsi="Times New Roman" w:cs="Times New Roman"/>
          <w:color w:val="000000"/>
          <w:sz w:val="20"/>
          <w:szCs w:val="20"/>
          <w:highlight w:val="cyan"/>
          <w:shd w:val="clear" w:color="auto" w:fill="92ff99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cyan"/>
          <w:shd w:val="clear" w:color="auto" w:fill="92ff99"/>
          <w:lang w:val="ru-RU"/>
        </w:rPr>
        <w:t xml:space="preserve">ИНН 7710357167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cyan"/>
          <w:shd w:val="clear" w:color="auto" w:fill="92ff99"/>
        </w:rPr>
      </w:r>
      <w:r>
        <w:rPr>
          <w:rFonts w:ascii="Times New Roman" w:hAnsi="Times New Roman" w:cs="Times New Roman"/>
          <w:color w:val="000000"/>
          <w:sz w:val="20"/>
          <w:szCs w:val="20"/>
          <w:highlight w:val="cyan"/>
          <w:shd w:val="clear" w:color="auto" w:fill="92ff99"/>
        </w:rPr>
      </w:r>
    </w:p>
    <w:p>
      <w:pPr>
        <w:jc w:val="both"/>
        <w:spacing w:after="0" w:afterAutospacing="0" w:line="276" w:lineRule="auto"/>
        <w:tabs>
          <w:tab w:val="left" w:pos="298" w:leader="none"/>
        </w:tabs>
        <w:rPr>
          <w:rFonts w:ascii="Times New Roman" w:hAnsi="Times New Roman" w:cs="Times New Roman"/>
          <w:color w:val="000000"/>
          <w:sz w:val="20"/>
          <w:szCs w:val="20"/>
          <w:highlight w:val="cyan"/>
          <w:shd w:val="clear" w:color="auto" w:fill="92ff99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cyan"/>
          <w:shd w:val="clear" w:color="auto" w:fill="92ff99"/>
          <w:lang w:val="ru-RU"/>
        </w:rPr>
        <w:t xml:space="preserve">КПП 773001001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cyan"/>
          <w:shd w:val="clear" w:color="auto" w:fill="92ff99"/>
        </w:rPr>
      </w:r>
      <w:r>
        <w:rPr>
          <w:rFonts w:ascii="Times New Roman" w:hAnsi="Times New Roman" w:cs="Times New Roman"/>
          <w:color w:val="000000"/>
          <w:sz w:val="20"/>
          <w:szCs w:val="20"/>
          <w:highlight w:val="cyan"/>
          <w:shd w:val="clear" w:color="auto" w:fill="92ff99"/>
        </w:rPr>
      </w:r>
    </w:p>
    <w:p>
      <w:pPr>
        <w:jc w:val="both"/>
        <w:spacing w:after="0" w:afterAutospacing="0" w:line="276" w:lineRule="auto"/>
        <w:rPr>
          <w:rFonts w:ascii="Times New Roman" w:hAnsi="Times New Roman" w:cs="Times New Roman"/>
          <w:i/>
          <w:sz w:val="20"/>
          <w:szCs w:val="20"/>
          <w:highlight w:val="cyan"/>
          <w:shd w:val="clear" w:color="auto" w:fill="92ff99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cyan"/>
          <w:shd w:val="clear" w:color="auto" w:fill="92ff99"/>
          <w:lang w:val="ru-RU"/>
        </w:rPr>
        <w:t xml:space="preserve">Назначение платежа: «Внесение гарантийного обеспечения по Соглашению о внесении гарантийного обеспечения, № аналитического счета _________, без НДС».</w:t>
      </w:r>
      <w:r>
        <w:rPr>
          <w:rFonts w:ascii="Times New Roman" w:hAnsi="Times New Roman" w:eastAsia="Times New Roman" w:cs="Times New Roman"/>
          <w:i/>
          <w:sz w:val="20"/>
          <w:szCs w:val="20"/>
          <w:highlight w:val="cyan"/>
          <w:shd w:val="clear" w:color="auto" w:fill="92ff99"/>
        </w:rPr>
      </w:r>
      <w:r>
        <w:rPr>
          <w:rFonts w:ascii="Times New Roman" w:hAnsi="Times New Roman" w:cs="Times New Roman"/>
          <w:i/>
          <w:sz w:val="20"/>
          <w:szCs w:val="20"/>
          <w:highlight w:val="cyan"/>
          <w:shd w:val="clear" w:color="auto" w:fill="92ff99"/>
        </w:rPr>
      </w:r>
    </w:p>
    <w:p>
      <w:pPr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Задаток победителя аукциона государственного имущества засчитывается в счет оплаты приобретаемого имущества.</w:t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none"/>
        </w:rPr>
      </w:r>
    </w:p>
    <w:p>
      <w:pPr>
        <w:pStyle w:val="1111"/>
        <w:ind w:left="0" w:firstLine="0"/>
        <w:jc w:val="both"/>
        <w:spacing w:after="0" w:afterAutospacing="0" w:line="276" w:lineRule="auto"/>
        <w:tabs>
          <w:tab w:val="left" w:pos="0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Перевод задатка претендентами осуществляется до даты окончания приема заявок.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  <w:highlight w:val="cyan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cyan"/>
        </w:rPr>
        <w:t xml:space="preserve">Информация о внесении претендентом денежных средств </w:t>
      </w:r>
      <w:r>
        <w:rPr>
          <w:rFonts w:ascii="Times New Roman" w:hAnsi="Times New Roman" w:eastAsia="Times New Roman" w:cs="Times New Roman"/>
          <w:sz w:val="20"/>
          <w:szCs w:val="20"/>
          <w:highlight w:val="cyan"/>
        </w:rPr>
        <w:t xml:space="preserve">в размере задатка </w:t>
      </w:r>
      <w:r>
        <w:rPr>
          <w:rFonts w:ascii="Times New Roman" w:hAnsi="Times New Roman" w:eastAsia="Times New Roman" w:cs="Times New Roman"/>
          <w:sz w:val="20"/>
          <w:szCs w:val="20"/>
          <w:highlight w:val="cyan"/>
        </w:rPr>
        <w:t xml:space="preserve">направляется оператором электронной</w:t>
      </w:r>
      <w:r>
        <w:rPr>
          <w:rFonts w:ascii="Times New Roman" w:hAnsi="Times New Roman" w:eastAsia="Times New Roman" w:cs="Times New Roman"/>
          <w:sz w:val="20"/>
          <w:szCs w:val="20"/>
          <w:highlight w:val="cyan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highlight w:val="cyan"/>
        </w:rPr>
        <w:t xml:space="preserve">площадки продавцу</w:t>
      </w:r>
      <w:r>
        <w:rPr>
          <w:rFonts w:ascii="Times New Roman" w:hAnsi="Times New Roman" w:eastAsia="Times New Roman" w:cs="Times New Roman"/>
          <w:sz w:val="20"/>
          <w:szCs w:val="20"/>
          <w:highlight w:val="cyan"/>
        </w:rPr>
        <w:t xml:space="preserve"> вместе с заявкой.</w:t>
      </w:r>
      <w:r>
        <w:rPr>
          <w:rFonts w:ascii="Times New Roman" w:hAnsi="Times New Roman" w:eastAsia="Times New Roman" w:cs="Times New Roman"/>
          <w:sz w:val="20"/>
          <w:szCs w:val="20"/>
          <w:highlight w:val="cyan"/>
        </w:rPr>
      </w:r>
      <w:r>
        <w:rPr>
          <w:rFonts w:ascii="Times New Roman" w:hAnsi="Times New Roman" w:cs="Times New Roman"/>
          <w:sz w:val="20"/>
          <w:szCs w:val="20"/>
          <w:highlight w:val="cyan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  <w:highlight w:val="cyan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cyan"/>
        </w:rPr>
        <w:t xml:space="preserve">Документом, подтверждающим поступление задатка претендента</w:t>
      </w:r>
      <w:r>
        <w:rPr>
          <w:rFonts w:ascii="Times New Roman" w:hAnsi="Times New Roman" w:eastAsia="Times New Roman" w:cs="Times New Roman"/>
          <w:sz w:val="20"/>
          <w:szCs w:val="20"/>
          <w:highlight w:val="cyan"/>
        </w:rPr>
        <w:t xml:space="preserve">, является выписка со счета оператора электронной площадки,</w:t>
      </w:r>
      <w:r>
        <w:rPr>
          <w:rFonts w:ascii="Times New Roman" w:hAnsi="Times New Roman" w:eastAsia="Times New Roman" w:cs="Times New Roman"/>
          <w:sz w:val="20"/>
          <w:szCs w:val="20"/>
          <w:highlight w:val="cyan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highlight w:val="cyan"/>
        </w:rPr>
        <w:t xml:space="preserve">указанного в информационном сообщении о проведении продажи</w:t>
      </w:r>
      <w:r>
        <w:rPr>
          <w:rFonts w:ascii="Times New Roman" w:hAnsi="Times New Roman" w:eastAsia="Times New Roman" w:cs="Times New Roman"/>
          <w:sz w:val="20"/>
          <w:szCs w:val="20"/>
          <w:highlight w:val="cyan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highlight w:val="cyan"/>
        </w:rPr>
        <w:t xml:space="preserve">имущества.</w:t>
      </w:r>
      <w:r>
        <w:rPr>
          <w:rFonts w:ascii="Times New Roman" w:hAnsi="Times New Roman" w:eastAsia="Times New Roman" w:cs="Times New Roman"/>
          <w:sz w:val="20"/>
          <w:szCs w:val="20"/>
          <w:highlight w:val="cyan"/>
        </w:rPr>
      </w:r>
      <w:r>
        <w:rPr>
          <w:rFonts w:ascii="Times New Roman" w:hAnsi="Times New Roman" w:cs="Times New Roman"/>
          <w:sz w:val="20"/>
          <w:szCs w:val="20"/>
          <w:highlight w:val="cyan"/>
        </w:rPr>
      </w:r>
    </w:p>
    <w:p>
      <w:pPr>
        <w:ind w:left="0" w:firstLine="0"/>
        <w:jc w:val="both"/>
        <w:spacing w:after="0" w:afterAutospacing="0" w:line="276" w:lineRule="auto"/>
        <w:widowControl w:val="off"/>
        <w:tabs>
          <w:tab w:val="left" w:pos="0" w:leader="none"/>
          <w:tab w:val="left" w:pos="312" w:leader="none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u w:val="single"/>
          <w:lang w:val="ru-RU"/>
        </w:rPr>
        <w:t xml:space="preserve">Порядок возврата задатка: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widowControl w:val="off"/>
        <w:tabs>
          <w:tab w:val="left" w:pos="0" w:leader="none"/>
          <w:tab w:val="left" w:pos="312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Возврат задатка производится оператором торговой площадки: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участникам, за исключением победителя, - в течение 5 дней со дня подведения итогов продажи имущества;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- претендентам, не допущенным к участию в продаже имущества, - в течение 5 дней со дня подписания протокола о признании претендентов участниками;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- в случае отзыва претендентом заявки не позднее дня окончания приема заявок поступивший от претендента задаток подлежит возврату в течение 5 дней со дня поступлен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ия уведомления об отзыве заявки;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-  в случае отзыва претендентом заявки позднее дня окончания приема заявок задаток возвращается в течение 5 дней со дня подписания протокола о признании претендентов участниками;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- при уклонении или отказе победителя от заключения в установленный срок договора купли-продажи имущества результаты аукциона аннулируются продавцом, победитель утрачивает право на заключение указанного догово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ра, задаток ему не возвращается;</w:t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none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- при уклонении или отказе покупателя от оплаты имущества в установленные сроки -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задаток ему не возвращается;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в  случае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признания аукциона несостоявшимся, задаток возвращается участникам в течение 5 дней со дня подписания протокола о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признании аукциона несостоявшимся.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u w:val="single"/>
          <w:lang w:val="ru-RU"/>
        </w:rPr>
        <w:t xml:space="preserve">Претендент не допускается к участию в аукционе по следующим основаниям:</w:t>
      </w:r>
      <w:r>
        <w:rPr>
          <w:rFonts w:ascii="Times New Roman" w:hAnsi="Times New Roman" w:eastAsia="Times New Roman" w:cs="Times New Roman"/>
          <w:b/>
          <w:sz w:val="20"/>
          <w:szCs w:val="20"/>
          <w:u w:val="single"/>
        </w:rPr>
      </w:r>
      <w:r>
        <w:rPr>
          <w:rFonts w:ascii="Times New Roman" w:hAnsi="Times New Roman" w:cs="Times New Roman"/>
          <w:b/>
          <w:sz w:val="20"/>
          <w:szCs w:val="20"/>
          <w:u w:val="single"/>
        </w:rPr>
      </w:r>
    </w:p>
    <w:p>
      <w:pPr>
        <w:pStyle w:val="1193"/>
        <w:numPr>
          <w:ilvl w:val="0"/>
          <w:numId w:val="6"/>
        </w:num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представленные документы не подтверждают право претендента быть покупателем в соответствии с законодательством Российской Федерации;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1193"/>
        <w:numPr>
          <w:ilvl w:val="0"/>
          <w:numId w:val="6"/>
        </w:num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предс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тавлены не все документы в соответствии с перечнем, указанным в информационном сообщении (за исключением предложений о цене государственного имущества на аукционе), или оформление указанных документов не соответствует законодательству Российской Федерации;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1193"/>
        <w:numPr>
          <w:ilvl w:val="0"/>
          <w:numId w:val="6"/>
        </w:num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заявка подана лицом, не уполномоченным претендентом на осуществление таких действий;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1193"/>
        <w:numPr>
          <w:ilvl w:val="0"/>
          <w:numId w:val="6"/>
        </w:num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не подтверждено поступление в установленный срок задатка на счета, указанные в информационном сообщении.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u w:val="single"/>
          <w:lang w:val="ru-RU"/>
        </w:rPr>
        <w:t xml:space="preserve">Порядок проведения аукциона: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Проведение продажи государственного имущества в электронной форме осуществляется на электронной площадке оператором электронной площадки по адресу </w:t>
      </w:r>
      <w:r>
        <w:rPr>
          <w:rStyle w:val="1162"/>
          <w:rFonts w:ascii="Times New Roman" w:hAnsi="Times New Roman" w:eastAsia="Times New Roman" w:cs="Times New Roman"/>
          <w:b/>
          <w:sz w:val="20"/>
          <w:szCs w:val="20"/>
          <w:lang w:val="ru-RU"/>
        </w:rPr>
        <w:fldChar w:fldCharType="begin"/>
      </w:r>
      <w:r>
        <w:rPr>
          <w:rStyle w:val="1162"/>
          <w:rFonts w:ascii="Times New Roman" w:hAnsi="Times New Roman" w:eastAsia="Times New Roman" w:cs="Times New Roman"/>
          <w:b/>
          <w:sz w:val="20"/>
          <w:szCs w:val="20"/>
          <w:lang w:val="en-US"/>
        </w:rPr>
        <w:instrText xml:space="preserve">HYPERLINK "https://www.rts-tender.ru/"</w:instrText>
      </w:r>
      <w:r>
        <w:rPr>
          <w:rStyle w:val="1162"/>
          <w:rFonts w:ascii="Times New Roman" w:hAnsi="Times New Roman" w:eastAsia="Times New Roman" w:cs="Times New Roman"/>
          <w:b/>
          <w:sz w:val="20"/>
          <w:szCs w:val="20"/>
          <w:lang w:val="en-US"/>
        </w:rPr>
        <w:fldChar w:fldCharType="separate"/>
      </w:r>
      <w:r>
        <w:rPr>
          <w:rStyle w:val="1162"/>
          <w:rFonts w:ascii="Times New Roman" w:hAnsi="Times New Roman" w:eastAsia="Times New Roman" w:cs="Times New Roman"/>
          <w:b/>
          <w:sz w:val="20"/>
          <w:szCs w:val="20"/>
          <w:lang w:val="en-US"/>
        </w:rPr>
        <w:t xml:space="preserve">https://www.rts-tender.ru/</w:t>
      </w:r>
      <w:r>
        <w:rPr>
          <w:rStyle w:val="1162"/>
          <w:rFonts w:ascii="Times New Roman" w:hAnsi="Times New Roman" w:eastAsia="Times New Roman" w:cs="Times New Roman"/>
          <w:b/>
          <w:sz w:val="20"/>
          <w:szCs w:val="20"/>
          <w:lang w:val="en-US"/>
        </w:rPr>
        <w:fldChar w:fldCharType="end"/>
      </w:r>
      <w:r>
        <w:rPr>
          <w:rStyle w:val="1162"/>
          <w:rFonts w:ascii="Times New Roman" w:hAnsi="Times New Roman" w:eastAsia="Times New Roman" w:cs="Times New Roman"/>
          <w:b/>
          <w:sz w:val="20"/>
          <w:szCs w:val="20"/>
          <w:lang w:val="en-US"/>
        </w:rPr>
        <w:t xml:space="preserve">.</w:t>
      </w:r>
      <w:r>
        <w:rPr>
          <w:rStyle w:val="1162"/>
          <w:rFonts w:ascii="Times New Roman" w:hAnsi="Times New Roman" w:eastAsia="Times New Roman" w:cs="Times New Roman"/>
          <w:b/>
          <w:sz w:val="20"/>
          <w:szCs w:val="20"/>
          <w:u w:val="none"/>
          <w:lang w:val="en-US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b/>
          <w:color w:val="0000ff" w:themeColor="hyperlink"/>
          <w:sz w:val="20"/>
          <w:szCs w:val="20"/>
          <w:u w:val="single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Процедура аукциона проводится в день и время, указанные в информационном сообщении о проведении аукциона, путем последовательного повышения участниками начальной цены продажи на величину, равную либо кратную величине "шага аукциона".</w:t>
      </w:r>
      <w:r>
        <w:rPr>
          <w:rFonts w:ascii="Times New Roman" w:hAnsi="Times New Roman" w:eastAsia="Times New Roman" w:cs="Times New Roman"/>
          <w:b/>
          <w:color w:val="0000ff" w:themeColor="hyperlink"/>
          <w:sz w:val="20"/>
          <w:szCs w:val="20"/>
          <w:u w:val="single"/>
        </w:rPr>
      </w:r>
      <w:r>
        <w:rPr>
          <w:rFonts w:ascii="Times New Roman" w:hAnsi="Times New Roman" w:cs="Times New Roman"/>
          <w:b/>
          <w:color w:val="0000ff" w:themeColor="hyperlink"/>
          <w:sz w:val="20"/>
          <w:szCs w:val="20"/>
          <w:u w:val="single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 если в течение указанного времени: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а) поступило предложение о начальной цене имущества, то время для представления следующих предложений об увеличенной на "шаг аукциона" цене имущества продлевается на 10 минут со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б) не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Победителем признается участник, предложивший наиболее высокую цену имущества.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В случае, если заявку на участие в аукционе подало </w:t>
      </w:r>
      <w:r>
        <w:rPr>
          <w:rFonts w:ascii="Times New Roman" w:hAnsi="Times New Roman" w:eastAsia="Times New Roman" w:cs="Times New Roman"/>
          <w:b/>
          <w:sz w:val="20"/>
          <w:szCs w:val="20"/>
          <w:u w:val="single"/>
          <w:lang w:val="ru-RU"/>
        </w:rPr>
        <w:t xml:space="preserve">только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одно лицо, признанное единственным участником аукциона, договор заключается с таким лицом по начальной цене продажи государственного имущества.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В случае отказа лица, признанного единственным участником аукциона, от заключения договора аукцион признается несостоявшимся.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Подведение итогов аукциона оформляется протоколом об итогах аукциона.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Протокол об ит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огах аукциона удостоверяет право победителя на заключение договора купли-продажи имущества, и подписывается продавцом в течение одного часа с момента получения электронного журнала, но не позднее рабочего дня, следующего за днем подведения итогов аукциона.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Процедура аукциона считается завершенной со времени подписания продавцом протокола об итогах аукциона.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Ответственность покупателя в случае его отказа или уклонения от оплаты имущества в установленные сроки предусматривается в соответствии с </w:t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ru-RU"/>
        </w:rPr>
        <w:fldChar w:fldCharType="begin"/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en-US"/>
        </w:rPr>
        <w:instrText xml:space="preserve">HYPERLINK "consultantplus://offline/ref=B732ABFE37CD30270E80DA69E636AF9F4067B2F88EB538C4CB9341EF1D8CCFF6BECB48338E37D147E6C498C0392192A12DDAC96D00EADE2B1AXFN"</w:instrText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en-US"/>
        </w:rPr>
        <w:fldChar w:fldCharType="separate"/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ru-RU"/>
        </w:rPr>
        <w:t xml:space="preserve">законодательством</w:t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ru-RU"/>
        </w:rPr>
        <w:fldChar w:fldCharType="end"/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Российской Федерации, задаток ему не возвращается.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u w:val="single"/>
          <w:lang w:val="ru-RU"/>
        </w:rPr>
        <w:t xml:space="preserve">Аукцион признается несостоявшимся в следующих случаях:</w:t>
      </w:r>
      <w:r>
        <w:rPr>
          <w:rFonts w:ascii="Times New Roman" w:hAnsi="Times New Roman" w:eastAsia="Times New Roman" w:cs="Times New Roman"/>
          <w:b/>
          <w:sz w:val="20"/>
          <w:szCs w:val="20"/>
          <w:u w:val="single"/>
        </w:rPr>
      </w:r>
      <w:r>
        <w:rPr>
          <w:rFonts w:ascii="Times New Roman" w:hAnsi="Times New Roman" w:cs="Times New Roman"/>
          <w:b/>
          <w:sz w:val="20"/>
          <w:szCs w:val="20"/>
          <w:u w:val="single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а) не было подано ни одной заявки на участие либо ни один из претендентов не признан участником;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б) лицо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, признанное единственным участником аукциона, отказалось от заключения договора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купли-продажи;</w:t>
      </w:r>
      <w:r>
        <w:rPr>
          <w:rFonts w:ascii="Times New Roman" w:hAnsi="Times New Roman" w:eastAsia="Times New Roman" w:cs="Times New Roman"/>
          <w:b w:val="0"/>
          <w:sz w:val="20"/>
          <w:szCs w:val="20"/>
        </w:rPr>
      </w:r>
      <w:r>
        <w:rPr>
          <w:rFonts w:ascii="Times New Roman" w:hAnsi="Times New Roman" w:cs="Times New Roman"/>
          <w:b w:val="0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в) ни один из участников не сделал предложение о начальной цене имущества.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Решение о признании аукциона несостоявшимся оформляется протоколом.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u w:val="single"/>
          <w:lang w:val="ru-RU"/>
        </w:rPr>
        <w:t xml:space="preserve">Покупателями государственного имущества могут быть любые физические и юридические лица, за исключением:</w:t>
      </w:r>
      <w:r>
        <w:rPr>
          <w:rFonts w:ascii="Times New Roman" w:hAnsi="Times New Roman" w:eastAsia="Times New Roman" w:cs="Times New Roman"/>
          <w:b/>
          <w:sz w:val="20"/>
          <w:szCs w:val="20"/>
          <w:u w:val="single"/>
        </w:rPr>
      </w:r>
      <w:r>
        <w:rPr>
          <w:rFonts w:ascii="Times New Roman" w:hAnsi="Times New Roman" w:cs="Times New Roman"/>
          <w:b/>
          <w:sz w:val="20"/>
          <w:szCs w:val="20"/>
          <w:u w:val="single"/>
        </w:rPr>
      </w:r>
    </w:p>
    <w:p>
      <w:pPr>
        <w:pStyle w:val="1193"/>
        <w:numPr>
          <w:ilvl w:val="0"/>
          <w:numId w:val="7"/>
        </w:num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государственных и муниципальных унитарных предприятий, государственных и муниципальных учреждений;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1193"/>
        <w:numPr>
          <w:ilvl w:val="0"/>
          <w:numId w:val="7"/>
        </w:num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</w:t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ru-RU"/>
        </w:rPr>
        <w:fldChar w:fldCharType="begin"/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en-US"/>
        </w:rPr>
        <w:instrText xml:space="preserve">HYPERLINK "consultantplus://offline/ref=EFB08118F5A3C6915D19F6369DBF1C0A654A711B6554C2CF20A047C2DB563EE0650132DC4F703EA88737A04DA84677B33294B5A23DK6PAK"</w:instrText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en-US"/>
        </w:rPr>
        <w:fldChar w:fldCharType="separate"/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ru-RU"/>
        </w:rPr>
        <w:t xml:space="preserve">статьей 25</w:t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ru-RU"/>
        </w:rPr>
        <w:fldChar w:fldCharType="end"/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Федерального закона от 21.12.2001 №178-ФЗ "О приватизации государственного и муниципального имущества"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;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1193"/>
        <w:numPr>
          <w:ilvl w:val="0"/>
          <w:numId w:val="7"/>
        </w:num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</w:t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ru-RU"/>
        </w:rPr>
        <w:fldChar w:fldCharType="begin"/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en-US"/>
        </w:rPr>
        <w:instrText xml:space="preserve">HYPERLINK "consultantplus://offline/ref=EFB08118F5A3C6915D19F6369DBF1C0A64417212635FC2CF20A047C2DB563EE0650132DD402164B8837EF449B74E68AC318AB6KAPBK"</w:instrText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en-US"/>
        </w:rPr>
        <w:fldChar w:fldCharType="separate"/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ru-RU"/>
        </w:rPr>
        <w:t xml:space="preserve">перечень</w:t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ru-RU"/>
        </w:rPr>
        <w:fldChar w:fldCharType="end"/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государств и территорий, предоставляющи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бенефициарных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владельцах и контролирующих лицах в порядке, установленном Правительством Российской Федерации.</w:t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Любое лицо независимо от регистрации на электронной площадке вправе направить на электронный адрес оператора электронной площадки, указанный в информационном с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ообщении о проведении продажи имущества, запрос о разъяснении размещенной информации. Такой запрос в режиме реального времени направляется в "личный кабинет" продавца для рассмотрения при условии, что запрос поступил продавцу не позднее 5 рабочих дней до о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кончания подачи заявок. В течение 2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запроса, но без указания лица, от которого поступил запрос.</w:t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b w:val="0"/>
          <w:bCs w:val="0"/>
          <w:sz w:val="20"/>
          <w:szCs w:val="20"/>
          <w:highlight w:val="cyan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u w:val="single"/>
          <w:lang w:val="ru-RU"/>
        </w:rPr>
        <w:t xml:space="preserve">Срок заключения договора купли-продажи </w:t>
      </w:r>
      <w:r>
        <w:rPr>
          <w:rFonts w:ascii="Times New Roman" w:hAnsi="Times New Roman" w:eastAsia="Times New Roman" w:cs="Times New Roman"/>
          <w:b/>
          <w:sz w:val="20"/>
          <w:szCs w:val="20"/>
          <w:u w:val="single"/>
          <w:lang w:val="ru-RU"/>
        </w:rPr>
        <w:t xml:space="preserve">государственного имущества</w:t>
      </w:r>
      <w:r>
        <w:rPr>
          <w:rFonts w:ascii="Times New Roman" w:hAnsi="Times New Roman" w:eastAsia="Times New Roman" w:cs="Times New Roman"/>
          <w:b/>
          <w:sz w:val="20"/>
          <w:szCs w:val="20"/>
          <w:u w:val="single"/>
          <w:lang w:val="ru-RU"/>
        </w:rPr>
        <w:t xml:space="preserve">: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highlight w:val="cyan"/>
          <w:lang w:val="ru-RU"/>
        </w:rPr>
        <w:t xml:space="preserve">з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highlight w:val="cyan"/>
          <w:lang w:val="ru-RU"/>
        </w:rPr>
        <w:t xml:space="preserve">аключение договора купли-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highlight w:val="cyan"/>
          <w:lang w:val="ru-RU"/>
        </w:rPr>
        <w:t xml:space="preserve">продажи </w:t>
      </w:r>
      <w:r>
        <w:rPr>
          <w:rFonts w:ascii="Times New Roman" w:hAnsi="Times New Roman" w:eastAsia="Times New Roman" w:cs="Times New Roman"/>
          <w:sz w:val="20"/>
          <w:szCs w:val="20"/>
          <w:highlight w:val="cyan"/>
          <w:lang w:val="ru-RU"/>
        </w:rPr>
        <w:t xml:space="preserve">(Приложение 2)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highlight w:val="cyan"/>
          <w:lang w:val="ru-RU"/>
        </w:rPr>
        <w:t xml:space="preserve"> с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highlight w:val="cyan"/>
          <w:lang w:val="ru-RU"/>
        </w:rPr>
        <w:t xml:space="preserve"> победителем аукциона 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highlight w:val="cyan"/>
          <w:lang w:val="ru-RU"/>
        </w:rPr>
        <w:t xml:space="preserve">либо лицом, признанным единственным участником аукциона,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highlight w:val="cyan"/>
          <w:lang w:val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highlight w:val="cyan"/>
          <w:lang w:val="ru-RU"/>
        </w:rPr>
        <w:t xml:space="preserve">осуществляется не ранее чем через 10 дней и не позднее 20 дней со дня 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highlight w:val="cyan"/>
          <w:lang w:val="ru-RU"/>
        </w:rPr>
        <w:t xml:space="preserve">размещения на официальном сайте в сети "Интернет" протокола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highlight w:val="cyan"/>
          <w:lang w:val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highlight w:val="cyan"/>
          <w:lang w:val="ru-RU"/>
        </w:rPr>
        <w:t xml:space="preserve">об итогах аукциона.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highlight w:val="cyan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  <w:highlight w:val="cyan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Договор купли-продажи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заключается между продавцом и победителем аукциона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либо лицом, признанным единственным участником аукциона,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в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форме электронного документа.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  <w:highlight w:val="none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  <w:highlight w:val="yellow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0"/>
          <w:szCs w:val="20"/>
          <w:highlight w:val="yellow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0"/>
          <w:szCs w:val="20"/>
          <w:highlight w:val="yellow"/>
        </w:rPr>
        <w:t xml:space="preserve">На основании ч. 1.1 ст. 42 Федерального закона от 13.07.2015 № 218-ФЗ «О государственной регистрации недвижимости» настоящий договор купли-продажи 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0"/>
          <w:szCs w:val="20"/>
          <w:highlight w:val="yellow"/>
        </w:rPr>
        <w:t xml:space="preserve">подлежит нотариальному удостоверению. При нотариальном удостоверении возможно изменение условий проекта договора купли-продажи за исключением его существенных условий.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0"/>
          <w:szCs w:val="20"/>
          <w:highlight w:val="yellow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0"/>
          <w:szCs w:val="20"/>
          <w:highlight w:val="yellow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При уклонении или отказе победителя аукциона либо лица, признанного единственным участником аукциона, от заключения в установленный срок договора купли-продажи имущества задаток ему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не возвращается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и он утрачивает право на заключение указанного договора.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Оплата приобретаемого имущества производится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в течение 25 рабочих дней с даты подписания Договора купли-продажи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путем перечисления денежных средств по следующим реквизитам:</w:t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none"/>
        </w:rPr>
      </w:r>
    </w:p>
    <w:tbl>
      <w:tblPr>
        <w:tblW w:w="9855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419"/>
        <w:gridCol w:w="6435"/>
      </w:tblGrid>
      <w:tr>
        <w:tblPrEx/>
        <w:trPr/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19" w:type="dxa"/>
            <w:vAlign w:val="center"/>
            <w:textDirection w:val="lrTb"/>
            <w:noWrap w:val="false"/>
          </w:tcPr>
          <w:p>
            <w:pPr>
              <w:pStyle w:val="1086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8"/>
                <w:szCs w:val="18"/>
              </w:rPr>
              <w:t xml:space="preserve">Наименование организации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35" w:type="dxa"/>
            <w:vAlign w:val="center"/>
            <w:textDirection w:val="lrTb"/>
            <w:noWrap w:val="false"/>
          </w:tcPr>
          <w:p>
            <w:pPr>
              <w:pStyle w:val="1086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pacing w:val="0"/>
                <w:sz w:val="18"/>
                <w:szCs w:val="18"/>
              </w:rPr>
              <w:t xml:space="preserve">Межрегиональное территориальное управление Федерального агентства по управлению государственным имуществом в Архангельской области и Ненецком автономном округе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/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19" w:type="dxa"/>
            <w:vAlign w:val="center"/>
            <w:textDirection w:val="lrTb"/>
            <w:noWrap w:val="false"/>
          </w:tcPr>
          <w:p>
            <w:pPr>
              <w:pStyle w:val="1086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8"/>
                <w:szCs w:val="18"/>
              </w:rPr>
              <w:t xml:space="preserve">Сокращенное наименование организации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35" w:type="dxa"/>
            <w:vAlign w:val="center"/>
            <w:textDirection w:val="lrTb"/>
            <w:noWrap w:val="false"/>
          </w:tcPr>
          <w:p>
            <w:pPr>
              <w:pStyle w:val="1086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pacing w:val="0"/>
                <w:sz w:val="18"/>
                <w:szCs w:val="18"/>
              </w:rPr>
              <w:t xml:space="preserve">МТУ Росимущества в Архангельской области и Ненецком автономном округе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/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19" w:type="dxa"/>
            <w:vAlign w:val="center"/>
            <w:textDirection w:val="lrTb"/>
            <w:noWrap w:val="false"/>
          </w:tcPr>
          <w:p>
            <w:pPr>
              <w:pStyle w:val="1086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8"/>
                <w:szCs w:val="18"/>
              </w:rPr>
              <w:t xml:space="preserve">ИНН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35" w:type="dxa"/>
            <w:vAlign w:val="center"/>
            <w:textDirection w:val="lrTb"/>
            <w:noWrap w:val="false"/>
          </w:tcPr>
          <w:p>
            <w:pPr>
              <w:pStyle w:val="1086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pacing w:val="0"/>
                <w:sz w:val="18"/>
                <w:szCs w:val="18"/>
              </w:rPr>
              <w:t xml:space="preserve">2901194203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/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19" w:type="dxa"/>
            <w:vAlign w:val="center"/>
            <w:textDirection w:val="lrTb"/>
            <w:noWrap w:val="false"/>
          </w:tcPr>
          <w:p>
            <w:pPr>
              <w:pStyle w:val="1086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8"/>
                <w:szCs w:val="18"/>
              </w:rPr>
              <w:t xml:space="preserve">КПП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35" w:type="dxa"/>
            <w:vAlign w:val="center"/>
            <w:textDirection w:val="lrTb"/>
            <w:noWrap w:val="false"/>
          </w:tcPr>
          <w:p>
            <w:pPr>
              <w:pStyle w:val="1086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pacing w:val="0"/>
                <w:sz w:val="18"/>
                <w:szCs w:val="18"/>
              </w:rPr>
              <w:t xml:space="preserve">290101001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/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19" w:type="dxa"/>
            <w:vAlign w:val="center"/>
            <w:textDirection w:val="lrTb"/>
            <w:noWrap w:val="false"/>
          </w:tcPr>
          <w:p>
            <w:pPr>
              <w:pStyle w:val="1086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8"/>
                <w:szCs w:val="18"/>
              </w:rPr>
              <w:t xml:space="preserve">Единый казначейский счет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35" w:type="dxa"/>
            <w:vAlign w:val="center"/>
            <w:textDirection w:val="lrTb"/>
            <w:noWrap w:val="false"/>
          </w:tcPr>
          <w:p>
            <w:pPr>
              <w:pStyle w:val="1086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pacing w:val="0"/>
                <w:sz w:val="18"/>
                <w:szCs w:val="18"/>
              </w:rPr>
              <w:t xml:space="preserve">40102810745370000024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/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19" w:type="dxa"/>
            <w:vAlign w:val="center"/>
            <w:textDirection w:val="lrTb"/>
            <w:noWrap w:val="false"/>
          </w:tcPr>
          <w:p>
            <w:pPr>
              <w:pStyle w:val="1086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8"/>
                <w:szCs w:val="18"/>
              </w:rPr>
              <w:t xml:space="preserve">Казначейский счет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35" w:type="dxa"/>
            <w:vAlign w:val="center"/>
            <w:textDirection w:val="lrTb"/>
            <w:noWrap w:val="false"/>
          </w:tcPr>
          <w:p>
            <w:pPr>
              <w:pStyle w:val="1086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pacing w:val="0"/>
                <w:sz w:val="18"/>
                <w:szCs w:val="18"/>
              </w:rPr>
              <w:t xml:space="preserve">03212643000000013244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/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19" w:type="dxa"/>
            <w:vAlign w:val="center"/>
            <w:textDirection w:val="lrTb"/>
            <w:noWrap w:val="false"/>
          </w:tcPr>
          <w:p>
            <w:pPr>
              <w:pStyle w:val="1086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8"/>
                <w:szCs w:val="18"/>
              </w:rPr>
              <w:t xml:space="preserve">Лицевой счет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35" w:type="dxa"/>
            <w:vAlign w:val="center"/>
            <w:textDirection w:val="lrTb"/>
            <w:noWrap w:val="false"/>
          </w:tcPr>
          <w:p>
            <w:pPr>
              <w:pStyle w:val="1086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pacing w:val="0"/>
                <w:sz w:val="18"/>
                <w:szCs w:val="18"/>
              </w:rPr>
              <w:t xml:space="preserve">05241А21020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/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19" w:type="dxa"/>
            <w:vAlign w:val="center"/>
            <w:textDirection w:val="lrTb"/>
            <w:noWrap w:val="false"/>
          </w:tcPr>
          <w:p>
            <w:pPr>
              <w:pStyle w:val="1086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8"/>
                <w:szCs w:val="18"/>
              </w:rPr>
              <w:t xml:space="preserve">Банк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35" w:type="dxa"/>
            <w:vAlign w:val="center"/>
            <w:textDirection w:val="lrTb"/>
            <w:noWrap w:val="false"/>
          </w:tcPr>
          <w:p>
            <w:pPr>
              <w:pStyle w:val="1086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pacing w:val="0"/>
                <w:sz w:val="18"/>
                <w:szCs w:val="18"/>
              </w:rPr>
              <w:t xml:space="preserve">ОКЦ № 1</w:t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pacing w:val="0"/>
                <w:sz w:val="18"/>
                <w:szCs w:val="18"/>
              </w:rPr>
              <w:t xml:space="preserve">ВВГУ Банка России //УФК по Нижегородской области, г.Нижний Новогород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/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19" w:type="dxa"/>
            <w:vAlign w:val="center"/>
            <w:textDirection w:val="lrTb"/>
            <w:noWrap w:val="false"/>
          </w:tcPr>
          <w:p>
            <w:pPr>
              <w:pStyle w:val="1086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8"/>
                <w:szCs w:val="18"/>
              </w:rPr>
              <w:t xml:space="preserve">БИК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35" w:type="dxa"/>
            <w:vAlign w:val="center"/>
            <w:textDirection w:val="lrTb"/>
            <w:noWrap w:val="false"/>
          </w:tcPr>
          <w:p>
            <w:pPr>
              <w:pStyle w:val="1086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pacing w:val="0"/>
                <w:sz w:val="18"/>
                <w:szCs w:val="18"/>
              </w:rPr>
              <w:t xml:space="preserve">012202102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/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19" w:type="dxa"/>
            <w:vAlign w:val="center"/>
            <w:textDirection w:val="lrTb"/>
            <w:noWrap w:val="false"/>
          </w:tcPr>
          <w:p>
            <w:pPr>
              <w:pStyle w:val="1086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18"/>
                <w:szCs w:val="18"/>
              </w:rPr>
              <w:t xml:space="preserve">Код (поле 22)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35" w:type="dxa"/>
            <w:vAlign w:val="center"/>
            <w:textDirection w:val="lrTb"/>
            <w:noWrap w:val="false"/>
          </w:tcPr>
          <w:p>
            <w:pPr>
              <w:pStyle w:val="1086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pacing w:val="0"/>
                <w:sz w:val="18"/>
                <w:szCs w:val="18"/>
              </w:rPr>
              <w:t xml:space="preserve">0011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</w:tbl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Ответственность покупателя в случае его отказа или уклонения от оплаты имущества в установленные сроки предусматривается в соответствии с </w:t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ru-RU"/>
        </w:rPr>
        <w:fldChar w:fldCharType="begin"/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en-US"/>
        </w:rPr>
        <w:instrText xml:space="preserve">HYPERLINK "consultantplus://offline/ref=B732ABFE37CD30270E80DA69E636AF9F4067B2F88EB538C4CB9341EF1D8CCFF6BECB48338E37D147E6C498C0392192A12DDAC96D00EADE2B1AXFN"</w:instrText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en-US"/>
        </w:rPr>
        <w:fldChar w:fldCharType="separate"/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ru-RU"/>
        </w:rPr>
        <w:t xml:space="preserve">законодательством</w:t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ru-RU"/>
        </w:rPr>
        <w:fldChar w:fldCharType="end"/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Российской Федерации в договоре купли-продажи имущества, задаток ему не возвращается.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В соответствии с п. 48. постановления Правительства РФ от 27.08.2012 N 860 "Об организации и проведении продажи государственного или муниципального имущества в электронной форме"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при уклонении или отказе победителя от заключения в установленный срок договора купли-продажи имущества результаты аукциона аннулируются продавцом, победитель утрачивает право на заключение указанного договора, задаток ему не возвращается,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в случае отказа или уклонения от оплаты имущества в установленные сроки Покупателем, задаток ему не возвращается.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u w:val="single"/>
          <w:lang w:val="ru-RU"/>
        </w:rPr>
        <w:t xml:space="preserve">Переход права собственности: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Право собственности на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приобретаемое имущество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возникает у покупателя только после полной оплаты стоимости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имущества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Право собственности на приватизируемое недвижимое имущество переходит к покупателю со дня государственной регистрации перехода права собственнос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ти на такое имущество. Основанием государственной регистрации такого имущества является договор купли-продажи недвижимого имущества, а также передаточный акт или акт приема-передачи имущества. Расходы на оплату услуг регистратора возлагаются на покупателя.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widowControl w:val="off"/>
        <w:tabs>
          <w:tab w:val="left" w:pos="567" w:leader="none"/>
        </w:tabs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u w:val="single"/>
          <w:lang w:val="ru-RU"/>
        </w:rPr>
        <w:t xml:space="preserve">Условия и срок </w:t>
      </w:r>
      <w:r>
        <w:rPr>
          <w:rFonts w:ascii="Times New Roman" w:hAnsi="Times New Roman" w:eastAsia="Times New Roman" w:cs="Times New Roman"/>
          <w:b/>
          <w:sz w:val="20"/>
          <w:szCs w:val="20"/>
          <w:u w:val="single"/>
          <w:lang w:val="ru-RU"/>
        </w:rPr>
        <w:t xml:space="preserve">передачи имущества</w:t>
      </w:r>
      <w:r>
        <w:rPr>
          <w:rFonts w:ascii="Times New Roman" w:hAnsi="Times New Roman" w:eastAsia="Times New Roman" w:cs="Times New Roman"/>
          <w:b/>
          <w:sz w:val="20"/>
          <w:szCs w:val="20"/>
          <w:u w:val="single"/>
          <w:lang w:val="ru-RU"/>
        </w:rPr>
        <w:t xml:space="preserve">: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передача государственного имущества и оформление права собственности на него осуществляются в соответствии с законодательством Российско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й Федерации и договором купли-продажи не позднее чем через тридцать дней после дня полной оплаты имущества.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val="ru-RU"/>
        </w:rPr>
        <w:t xml:space="preserve">Передача имущества покупателю осуществляется 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val="ru-RU"/>
        </w:rPr>
        <w:t xml:space="preserve">по  подписываемому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val="ru-RU"/>
        </w:rPr>
        <w:t xml:space="preserve"> сторонами акту приема-передачи (Приложение к данному информационному сообщению) к Договору купли продажи государственного имущества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в десятидневный срок с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момента оплаты Имущества.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widowControl w:val="off"/>
        <w:tabs>
          <w:tab w:val="left" w:pos="0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u w:val="single"/>
          <w:lang w:val="ru-RU"/>
        </w:rPr>
        <w:t xml:space="preserve">Примечание: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1193"/>
        <w:numPr>
          <w:ilvl w:val="0"/>
          <w:numId w:val="8"/>
        </w:numPr>
        <w:ind w:left="0" w:firstLine="0"/>
        <w:jc w:val="both"/>
        <w:spacing w:after="0" w:afterAutospacing="0" w:line="276" w:lineRule="auto"/>
        <w:widowControl w:val="off"/>
        <w:tabs>
          <w:tab w:val="left" w:pos="0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и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нформаци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онное сообщение об итогах продажи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государственного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имущества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будет размещено в тех же средствах массовой информации, в которых было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опубликован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о сообщение о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продаже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государственного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имущества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;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spacing w:after="0" w:afterAutospacing="0" w:line="276" w:lineRule="auto"/>
        <w:rPr>
          <w:rFonts w:ascii="Times New Roman" w:hAnsi="Times New Roman" w:cs="Times New Roman"/>
          <w:sz w:val="20"/>
          <w:szCs w:val="20"/>
          <w:highlight w:val="yellow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н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ачал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ьная цена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аукциона уст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анавливается в соответствии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с Ф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едераль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ным закон</w:t>
      </w:r>
      <w:r>
        <w:rPr>
          <w:rFonts w:ascii="Times New Roman" w:hAnsi="Times New Roman" w:eastAsia="Times New Roman" w:cs="Times New Roman"/>
          <w:sz w:val="20"/>
          <w:szCs w:val="20"/>
          <w:highlight w:val="none"/>
          <w:lang w:val="ru-RU"/>
        </w:rPr>
        <w:t xml:space="preserve">ом </w:t>
      </w:r>
      <w:r>
        <w:rPr>
          <w:rFonts w:ascii="Times New Roman" w:hAnsi="Times New Roman" w:eastAsia="Times New Roman" w:cs="Times New Roman"/>
          <w:sz w:val="20"/>
          <w:szCs w:val="20"/>
          <w:highlight w:val="none"/>
          <w:lang w:val="ru-RU"/>
        </w:rPr>
        <w:t xml:space="preserve">от 29.07.1998 №135-</w:t>
      </w:r>
      <w:r>
        <w:rPr>
          <w:rFonts w:ascii="Times New Roman" w:hAnsi="Times New Roman" w:eastAsia="Times New Roman" w:cs="Times New Roman"/>
          <w:sz w:val="20"/>
          <w:szCs w:val="20"/>
          <w:highlight w:val="none"/>
          <w:lang w:val="ru-RU"/>
        </w:rPr>
        <w:t xml:space="preserve">Ф</w:t>
      </w:r>
      <w:r>
        <w:rPr>
          <w:rFonts w:ascii="Times New Roman" w:hAnsi="Times New Roman" w:eastAsia="Times New Roman" w:cs="Times New Roman"/>
          <w:sz w:val="20"/>
          <w:szCs w:val="20"/>
          <w:highlight w:val="none"/>
          <w:lang w:val="ru-RU"/>
        </w:rPr>
        <w:t xml:space="preserve">З «Об оце</w:t>
      </w:r>
      <w:r>
        <w:rPr>
          <w:rFonts w:ascii="Times New Roman" w:hAnsi="Times New Roman" w:eastAsia="Times New Roman" w:cs="Times New Roman"/>
          <w:sz w:val="20"/>
          <w:szCs w:val="20"/>
          <w:highlight w:val="none"/>
          <w:lang w:val="ru-RU"/>
        </w:rPr>
        <w:t xml:space="preserve">ночной деятельности в Россий</w:t>
      </w:r>
      <w:r>
        <w:rPr>
          <w:rFonts w:ascii="Times New Roman" w:hAnsi="Times New Roman" w:eastAsia="Times New Roman" w:cs="Times New Roman"/>
          <w:sz w:val="20"/>
          <w:szCs w:val="20"/>
          <w:highlight w:val="none"/>
          <w:lang w:val="ru-RU"/>
        </w:rPr>
        <w:t xml:space="preserve">ской Федерации»</w:t>
      </w:r>
      <w:r>
        <w:rPr>
          <w:rFonts w:ascii="Times New Roman" w:hAnsi="Times New Roman" w:eastAsia="Times New Roman" w:cs="Times New Roman"/>
          <w:sz w:val="20"/>
          <w:szCs w:val="20"/>
          <w:highlight w:val="none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highlight w:val="none"/>
          <w:lang w:val="ru-RU"/>
        </w:rPr>
        <w:t xml:space="preserve">на основании</w:t>
      </w:r>
      <w:r>
        <w:rPr>
          <w:rFonts w:ascii="Times New Roman" w:hAnsi="Times New Roman" w:eastAsia="Times New Roman" w:cs="Times New Roman"/>
          <w:sz w:val="20"/>
          <w:szCs w:val="20"/>
          <w:highlight w:val="none"/>
          <w:lang w:val="ru-RU"/>
        </w:rPr>
        <w:t xml:space="preserve"> отчета</w:t>
      </w:r>
      <w:r>
        <w:rPr>
          <w:rFonts w:ascii="Times New Roman" w:hAnsi="Times New Roman" w:eastAsia="Times New Roman" w:cs="Times New Roman"/>
          <w:sz w:val="20"/>
          <w:szCs w:val="20"/>
          <w:highlight w:val="none"/>
          <w:lang w:val="ru-RU"/>
        </w:rPr>
        <w:t xml:space="preserve"> </w:t>
      </w:r>
      <w:r>
        <w:rPr>
          <w:rFonts w:ascii="Times New Roman" w:hAnsi="Times New Roman" w:eastAsia="Times New Roman" w:cs="Times New Roman"/>
          <w:b w:val="0"/>
          <w:sz w:val="20"/>
          <w:szCs w:val="20"/>
          <w:highlight w:val="yellow"/>
          <w:lang w:val="ru-RU"/>
        </w:rPr>
        <w:t xml:space="preserve">от</w:t>
      </w:r>
      <w:r>
        <w:rPr>
          <w:rFonts w:ascii="Times New Roman" w:hAnsi="Times New Roman" w:eastAsia="Times New Roman" w:cs="Times New Roman"/>
          <w:b w:val="0"/>
          <w:sz w:val="20"/>
          <w:szCs w:val="20"/>
          <w:highlight w:val="yellow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11.03.2026 №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 Н-47096/26</w:t>
      </w:r>
      <w:r>
        <w:rPr>
          <w:rFonts w:ascii="Times New Roman" w:hAnsi="Times New Roman" w:eastAsia="Times New Roman" w:cs="Times New Roman"/>
          <w:b w:val="0"/>
          <w:sz w:val="20"/>
          <w:szCs w:val="20"/>
          <w:highlight w:val="yellow"/>
          <w:lang w:val="ru-RU"/>
        </w:rPr>
        <w:t xml:space="preserve"> об определении рыночной стоимости недвижимого имущества, выполненного ООО «ЛАИР»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shd w:val="clear" w:color="auto" w:fill="ffd821"/>
          <w:lang w:val="ru-RU"/>
        </w:rPr>
        <w:t xml:space="preserve">, 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shd w:val="clear" w:color="auto" w:fill="ffd821"/>
          <w:lang w:val="ru-RU"/>
        </w:rPr>
        <w:t xml:space="preserve">ссылка на отчет рыночной стоимости приватизиру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shd w:val="clear" w:color="auto" w:fill="ffd821"/>
          <w:lang w:val="ru-RU"/>
        </w:rPr>
        <w:t xml:space="preserve">емого 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shd w:val="clear" w:color="auto" w:fill="ffd821"/>
          <w:lang w:val="ru-RU"/>
        </w:rPr>
        <w:t xml:space="preserve">ф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shd w:val="clear" w:color="auto" w:fill="ffd821"/>
          <w:lang w:val="ru-RU"/>
        </w:rPr>
        <w:t xml:space="preserve">едерального имущества: </w:t>
      </w:r>
      <w:r>
        <w:rPr>
          <w:rStyle w:val="1162"/>
          <w:rFonts w:ascii="Times New Roman" w:hAnsi="Times New Roman" w:eastAsia="Times New Roman" w:cs="Times New Roman"/>
          <w:sz w:val="20"/>
          <w:szCs w:val="20"/>
          <w:highlight w:val="yellow"/>
          <w:lang w:val="en-US"/>
        </w:rPr>
        <w:fldChar w:fldCharType="begin"/>
      </w:r>
      <w:r>
        <w:rPr>
          <w:rStyle w:val="1162"/>
          <w:rFonts w:ascii="Times New Roman" w:hAnsi="Times New Roman" w:eastAsia="Times New Roman" w:cs="Times New Roman"/>
          <w:sz w:val="20"/>
          <w:szCs w:val="20"/>
          <w:highlight w:val="yellow"/>
          <w:lang w:val="en-US"/>
        </w:rPr>
        <w:instrText xml:space="preserve">HYPERLINK "https://fedresurs.ru/sfactmessages/1c15be29-17ae-450f-8937-85425030b1e3"</w:instrText>
      </w:r>
      <w:r>
        <w:rPr>
          <w:rStyle w:val="1162"/>
          <w:rFonts w:ascii="Times New Roman" w:hAnsi="Times New Roman" w:eastAsia="Times New Roman" w:cs="Times New Roman"/>
          <w:sz w:val="20"/>
          <w:szCs w:val="20"/>
          <w:highlight w:val="yellow"/>
          <w:lang w:val="en-US"/>
        </w:rPr>
        <w:fldChar w:fldCharType="separate"/>
      </w:r>
      <w:r>
        <w:rPr>
          <w:rStyle w:val="1162"/>
          <w:rFonts w:ascii="Times New Roman" w:hAnsi="Times New Roman" w:eastAsia="Times New Roman" w:cs="Times New Roman"/>
          <w:sz w:val="20"/>
          <w:szCs w:val="20"/>
          <w:highlight w:val="yellow"/>
          <w:lang w:val="en-US"/>
        </w:rPr>
        <w:t xml:space="preserve">https://fedresurs.ru/sfactmessages/1c15be29-17ae-450f-8937-85425030b1e3</w:t>
      </w:r>
      <w:r>
        <w:rPr>
          <w:rStyle w:val="1162"/>
          <w:rFonts w:ascii="Times New Roman" w:hAnsi="Times New Roman" w:eastAsia="Times New Roman" w:cs="Times New Roman"/>
          <w:sz w:val="20"/>
          <w:szCs w:val="20"/>
          <w:highlight w:val="yellow"/>
          <w:lang w:val="en-US"/>
        </w:rPr>
        <w:fldChar w:fldCharType="end"/>
      </w:r>
      <w:r>
        <w:rPr>
          <w:rStyle w:val="1162"/>
          <w:rFonts w:ascii="Times New Roman" w:hAnsi="Times New Roman" w:eastAsia="Times New Roman" w:cs="Times New Roman"/>
          <w:sz w:val="20"/>
          <w:szCs w:val="20"/>
          <w:highlight w:val="yellow"/>
          <w:lang w:val="en-US"/>
        </w:rPr>
        <w:t xml:space="preserve">.</w:t>
      </w:r>
      <w:r>
        <w:rPr>
          <w:rStyle w:val="1162"/>
          <w:rFonts w:ascii="Times New Roman" w:hAnsi="Times New Roman" w:eastAsia="Times New Roman" w:cs="Times New Roman"/>
          <w:sz w:val="20"/>
          <w:szCs w:val="20"/>
          <w:highlight w:val="yellow"/>
          <w:lang w:val="en-US"/>
        </w:rPr>
      </w:r>
      <w:r>
        <w:rPr>
          <w:rFonts w:ascii="Times New Roman" w:hAnsi="Times New Roman" w:cs="Times New Roman"/>
          <w:sz w:val="20"/>
          <w:szCs w:val="20"/>
          <w:highlight w:val="yellow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Проект договора купли-продаж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и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имущества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акт приема-передачи к имущества к договору купли-продажи,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форма заявки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являются приложением к данному информационному сообщению. </w:t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</w:r>
      <w:r>
        <w:rPr>
          <w:rFonts w:ascii="Times New Roman" w:hAnsi="Times New Roman" w:cs="Times New Roman"/>
          <w:sz w:val="20"/>
          <w:szCs w:val="20"/>
          <w:u w:val="single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Ознакомиться с иной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и дополнительной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информацией возможно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по  адресу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г. Архангельск, ул. Выучейского, д. 2 (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пн-чт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09:00 – 17:15,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пт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09:00 – 15:45, обед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13:00 – 13:45) или по номе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ру телефона 8-8182-20-17-14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8-921-477-57-67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(по предварительной записи)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Для личного ознакомления с объектом недвижимости необходимо позвонить по номеру телефону: 8-8182-20-17-12.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1185"/>
        <w:ind w:left="0" w:firstLine="0"/>
        <w:spacing w:after="0" w:afterAutospacing="0" w:line="276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pStyle w:val="1185"/>
        <w:ind w:left="0" w:firstLine="0"/>
        <w:spacing w:after="0" w:afterAutospacing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</w:p>
    <w:p>
      <w:pPr>
        <w:pStyle w:val="1185"/>
        <w:ind w:left="0" w:firstLine="0"/>
        <w:spacing w:after="0" w:afterAutospacing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</w:p>
    <w:p>
      <w:pPr>
        <w:pStyle w:val="1185"/>
        <w:ind w:left="0" w:firstLine="0"/>
        <w:spacing w:after="0" w:afterAutospacing="0" w:line="276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Руководитель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Межрегионального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1185"/>
        <w:ind w:left="0" w:firstLine="0"/>
        <w:spacing w:after="0" w:afterAutospacing="0" w:line="276" w:lineRule="auto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Территориального управления 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ab/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      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ab/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    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ab/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ab/>
        <w:tab/>
        <w:tab/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ab/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ab/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А.А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. Баранов</w:t>
      </w:r>
      <w:r>
        <w:rPr>
          <w:rFonts w:ascii="Times New Roman" w:hAnsi="Times New Roman" w:eastAsia="Times New Roman" w:cs="Times New Roman"/>
          <w:b w:val="0"/>
          <w:sz w:val="20"/>
          <w:szCs w:val="20"/>
        </w:rPr>
      </w:r>
      <w:r>
        <w:rPr>
          <w:rFonts w:ascii="Times New Roman" w:hAnsi="Times New Roman" w:cs="Times New Roman"/>
          <w:b w:val="0"/>
          <w:sz w:val="20"/>
          <w:szCs w:val="20"/>
        </w:rPr>
      </w:r>
    </w:p>
    <w:sectPr>
      <w:headerReference w:type="default" r:id="rId9"/>
      <w:headerReference w:type="first" r:id="rId10"/>
      <w:footnotePr/>
      <w:endnotePr/>
      <w:type w:val="nextPage"/>
      <w:pgSz w:w="11906" w:h="16838" w:orient="portrait"/>
      <w:pgMar w:top="1134" w:right="851" w:bottom="426" w:left="1418" w:header="720" w:footer="720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Symbol">
    <w:panose1 w:val="05010000000000000000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XO Thames">
    <w:panose1 w:val="02020603050405020304"/>
  </w:font>
  <w:font w:name="Wingdings">
    <w:panose1 w:val="05010000000000000000"/>
  </w:font>
  <w:font w:name="Liberation Sans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27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  <w:r/>
  </w:p>
  <w:p>
    <w:pPr>
      <w:pStyle w:val="1127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27"/>
      <w:jc w:val="right"/>
      <w:tabs>
        <w:tab w:val="clear" w:pos="4677" w:leader="none"/>
        <w:tab w:val="clear" w:pos="9355" w:leader="none"/>
      </w:tabs>
      <w:rPr>
        <w:color w:val="7f7f7f" w:themeColor="text1" w:themeTint="80"/>
      </w:rPr>
    </w:pPr>
    <w:r>
      <w:rPr>
        <w:color w:val="7f7f7f" w:themeColor="text1" w:themeTint="80"/>
      </w:rPr>
    </w:r>
    <w:r>
      <w:rPr>
        <w:color w:val="7f7f7f" w:themeColor="text1" w:themeTint="80"/>
      </w:rPr>
    </w:r>
    <w:r>
      <w:rPr>
        <w:color w:val="7f7f7f" w:themeColor="text1" w:themeTint="80"/>
      </w:rPr>
    </w:r>
  </w:p>
  <w:p>
    <w:pPr>
      <w:pStyle w:val="1127"/>
      <w:jc w:val="both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720" w:hanging="360"/>
      </w:pPr>
      <w:rPr>
        <w:b/>
      </w:rPr>
    </w:lvl>
    <w:lvl w:ilvl="1">
      <w:start w:val="1"/>
      <w:numFmt w:val="decimal"/>
      <w:isLgl w:val="false"/>
      <w:suff w:val="tab"/>
      <w:lvlText w:val="%2)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)"/>
      <w:lvlJc w:val="right"/>
      <w:pPr>
        <w:ind w:left="2160" w:hanging="360"/>
      </w:pPr>
    </w:lvl>
    <w:lvl w:ilvl="3">
      <w:start w:val="1"/>
      <w:numFmt w:val="russianLower"/>
      <w:isLgl w:val="false"/>
      <w:suff w:val="tab"/>
      <w:lvlText w:val="%4)"/>
      <w:lvlJc w:val="left"/>
      <w:pPr>
        <w:ind w:left="2880" w:hanging="360"/>
      </w:pPr>
    </w:lvl>
    <w:lvl w:ilvl="4">
      <w:start w:val="1"/>
      <w:numFmt w:val="decimal"/>
      <w:isLgl w:val="false"/>
      <w:suff w:val="tab"/>
      <w:lvlText w:val="%5)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)"/>
      <w:lvlJc w:val="right"/>
      <w:pPr>
        <w:ind w:left="4320" w:hanging="360"/>
      </w:pPr>
    </w:lvl>
    <w:lvl w:ilvl="6">
      <w:start w:val="1"/>
      <w:numFmt w:val="russianLower"/>
      <w:isLgl w:val="false"/>
      <w:suff w:val="tab"/>
      <w:lvlText w:val="%7)"/>
      <w:lvlJc w:val="left"/>
      <w:pPr>
        <w:ind w:left="5040" w:hanging="360"/>
      </w:pPr>
    </w:lvl>
    <w:lvl w:ilvl="7">
      <w:start w:val="1"/>
      <w:numFmt w:val="decimal"/>
      <w:isLgl w:val="false"/>
      <w:suff w:val="tab"/>
      <w:lvlText w:val="%8)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)"/>
      <w:lvlJc w:val="right"/>
      <w:pPr>
        <w:ind w:left="6480" w:hanging="36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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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2)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)"/>
      <w:lvlJc w:val="right"/>
      <w:pPr>
        <w:ind w:left="2160" w:hanging="360"/>
      </w:pPr>
    </w:lvl>
    <w:lvl w:ilvl="3">
      <w:start w:val="1"/>
      <w:numFmt w:val="russianLower"/>
      <w:isLgl w:val="false"/>
      <w:suff w:val="tab"/>
      <w:lvlText w:val="%4)"/>
      <w:lvlJc w:val="left"/>
      <w:pPr>
        <w:ind w:left="2880" w:hanging="360"/>
      </w:pPr>
    </w:lvl>
    <w:lvl w:ilvl="4">
      <w:start w:val="1"/>
      <w:numFmt w:val="decimal"/>
      <w:isLgl w:val="false"/>
      <w:suff w:val="tab"/>
      <w:lvlText w:val="%5)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)"/>
      <w:lvlJc w:val="right"/>
      <w:pPr>
        <w:ind w:left="4320" w:hanging="360"/>
      </w:pPr>
    </w:lvl>
    <w:lvl w:ilvl="6">
      <w:start w:val="1"/>
      <w:numFmt w:val="russianLower"/>
      <w:isLgl w:val="false"/>
      <w:suff w:val="tab"/>
      <w:lvlText w:val="%7)"/>
      <w:lvlJc w:val="left"/>
      <w:pPr>
        <w:ind w:left="5040" w:hanging="360"/>
      </w:pPr>
    </w:lvl>
    <w:lvl w:ilvl="7">
      <w:start w:val="1"/>
      <w:numFmt w:val="decimal"/>
      <w:isLgl w:val="false"/>
      <w:suff w:val="tab"/>
      <w:lvlText w:val="%8)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)"/>
      <w:lvlJc w:val="right"/>
      <w:pPr>
        <w:ind w:left="6480" w:hanging="360"/>
      </w:pPr>
    </w:lvl>
  </w:abstractNum>
  <w:abstractNum w:abstractNumId="9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2)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)"/>
      <w:lvlJc w:val="right"/>
      <w:pPr>
        <w:ind w:left="2160" w:hanging="360"/>
      </w:pPr>
    </w:lvl>
    <w:lvl w:ilvl="3">
      <w:start w:val="1"/>
      <w:numFmt w:val="russianLower"/>
      <w:isLgl w:val="false"/>
      <w:suff w:val="tab"/>
      <w:lvlText w:val="%4)"/>
      <w:lvlJc w:val="left"/>
      <w:pPr>
        <w:ind w:left="2880" w:hanging="360"/>
      </w:pPr>
    </w:lvl>
    <w:lvl w:ilvl="4">
      <w:start w:val="1"/>
      <w:numFmt w:val="decimal"/>
      <w:isLgl w:val="false"/>
      <w:suff w:val="tab"/>
      <w:lvlText w:val="%5)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)"/>
      <w:lvlJc w:val="right"/>
      <w:pPr>
        <w:ind w:left="4320" w:hanging="360"/>
      </w:pPr>
    </w:lvl>
    <w:lvl w:ilvl="6">
      <w:start w:val="1"/>
      <w:numFmt w:val="russianLower"/>
      <w:isLgl w:val="false"/>
      <w:suff w:val="tab"/>
      <w:lvlText w:val="%7)"/>
      <w:lvlJc w:val="left"/>
      <w:pPr>
        <w:ind w:left="5040" w:hanging="360"/>
      </w:pPr>
    </w:lvl>
    <w:lvl w:ilvl="7">
      <w:start w:val="1"/>
      <w:numFmt w:val="decimal"/>
      <w:isLgl w:val="false"/>
      <w:suff w:val="tab"/>
      <w:lvlText w:val="%8)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)"/>
      <w:lvlJc w:val="right"/>
      <w:pPr>
        <w:ind w:left="6480" w:hanging="36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widowControl w:val="off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widowControl w:val="off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widowControl w:val="off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widowControl w:val="off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  <w:widowControl w:val="off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  <w:widowControl w:val="off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widowControl w:val="off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widowControl w:val="off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widowControl w:val="off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19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720" w:hanging="360"/>
      </w:pPr>
      <w:rPr>
        <w:b/>
      </w:rPr>
    </w:lvl>
    <w:lvl w:ilvl="1">
      <w:start w:val="1"/>
      <w:numFmt w:val="decimal"/>
      <w:isLgl w:val="false"/>
      <w:suff w:val="tab"/>
      <w:lvlText w:val="%2)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)"/>
      <w:lvlJc w:val="right"/>
      <w:pPr>
        <w:ind w:left="2160" w:hanging="360"/>
      </w:pPr>
    </w:lvl>
    <w:lvl w:ilvl="3">
      <w:start w:val="1"/>
      <w:numFmt w:val="russianLower"/>
      <w:isLgl w:val="false"/>
      <w:suff w:val="tab"/>
      <w:lvlText w:val="%4)"/>
      <w:lvlJc w:val="left"/>
      <w:pPr>
        <w:ind w:left="2880" w:hanging="360"/>
      </w:pPr>
    </w:lvl>
    <w:lvl w:ilvl="4">
      <w:start w:val="1"/>
      <w:numFmt w:val="decimal"/>
      <w:isLgl w:val="false"/>
      <w:suff w:val="tab"/>
      <w:lvlText w:val="%5)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)"/>
      <w:lvlJc w:val="right"/>
      <w:pPr>
        <w:ind w:left="4320" w:hanging="360"/>
      </w:pPr>
    </w:lvl>
    <w:lvl w:ilvl="6">
      <w:start w:val="1"/>
      <w:numFmt w:val="russianLower"/>
      <w:isLgl w:val="false"/>
      <w:suff w:val="tab"/>
      <w:lvlText w:val="%7)"/>
      <w:lvlJc w:val="left"/>
      <w:pPr>
        <w:ind w:left="5040" w:hanging="360"/>
      </w:pPr>
    </w:lvl>
    <w:lvl w:ilvl="7">
      <w:start w:val="1"/>
      <w:numFmt w:val="decimal"/>
      <w:isLgl w:val="false"/>
      <w:suff w:val="tab"/>
      <w:lvlText w:val="%8)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)"/>
      <w:lvlJc w:val="right"/>
      <w:pPr>
        <w:ind w:left="6480" w:hanging="36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widowControl w:val="off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  <w:widowControl w:val="off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  <w:widowControl w:val="off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23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720" w:hanging="360"/>
      </w:pPr>
      <w:rPr>
        <w:b/>
      </w:rPr>
    </w:lvl>
    <w:lvl w:ilvl="1">
      <w:start w:val="1"/>
      <w:numFmt w:val="decimal"/>
      <w:isLgl w:val="false"/>
      <w:suff w:val="tab"/>
      <w:lvlText w:val="%2)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)"/>
      <w:lvlJc w:val="right"/>
      <w:pPr>
        <w:ind w:left="2160" w:hanging="360"/>
      </w:pPr>
    </w:lvl>
    <w:lvl w:ilvl="3">
      <w:start w:val="1"/>
      <w:numFmt w:val="russianLower"/>
      <w:isLgl w:val="false"/>
      <w:suff w:val="tab"/>
      <w:lvlText w:val="%4)"/>
      <w:lvlJc w:val="left"/>
      <w:pPr>
        <w:ind w:left="2880" w:hanging="360"/>
      </w:pPr>
    </w:lvl>
    <w:lvl w:ilvl="4">
      <w:start w:val="1"/>
      <w:numFmt w:val="decimal"/>
      <w:isLgl w:val="false"/>
      <w:suff w:val="tab"/>
      <w:lvlText w:val="%5)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)"/>
      <w:lvlJc w:val="right"/>
      <w:pPr>
        <w:ind w:left="4320" w:hanging="360"/>
      </w:pPr>
    </w:lvl>
    <w:lvl w:ilvl="6">
      <w:start w:val="1"/>
      <w:numFmt w:val="russianLower"/>
      <w:isLgl w:val="false"/>
      <w:suff w:val="tab"/>
      <w:lvlText w:val="%7)"/>
      <w:lvlJc w:val="left"/>
      <w:pPr>
        <w:ind w:left="5040" w:hanging="360"/>
      </w:pPr>
    </w:lvl>
    <w:lvl w:ilvl="7">
      <w:start w:val="1"/>
      <w:numFmt w:val="decimal"/>
      <w:isLgl w:val="false"/>
      <w:suff w:val="tab"/>
      <w:lvlText w:val="%8)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)"/>
      <w:lvlJc w:val="right"/>
      <w:pPr>
        <w:ind w:left="6480" w:hanging="36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widowControl w:val="off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widowControl w:val="off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widowControl w:val="off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27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720" w:hanging="360"/>
      </w:pPr>
      <w:rPr>
        <w:b/>
      </w:rPr>
    </w:lvl>
    <w:lvl w:ilvl="1">
      <w:start w:val="1"/>
      <w:numFmt w:val="decimal"/>
      <w:isLgl w:val="false"/>
      <w:suff w:val="tab"/>
      <w:lvlText w:val="%2)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)"/>
      <w:lvlJc w:val="right"/>
      <w:pPr>
        <w:ind w:left="2160" w:hanging="360"/>
      </w:pPr>
    </w:lvl>
    <w:lvl w:ilvl="3">
      <w:start w:val="1"/>
      <w:numFmt w:val="russianLower"/>
      <w:isLgl w:val="false"/>
      <w:suff w:val="tab"/>
      <w:lvlText w:val="%4)"/>
      <w:lvlJc w:val="left"/>
      <w:pPr>
        <w:ind w:left="2880" w:hanging="360"/>
      </w:pPr>
    </w:lvl>
    <w:lvl w:ilvl="4">
      <w:start w:val="1"/>
      <w:numFmt w:val="decimal"/>
      <w:isLgl w:val="false"/>
      <w:suff w:val="tab"/>
      <w:lvlText w:val="%5)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)"/>
      <w:lvlJc w:val="right"/>
      <w:pPr>
        <w:ind w:left="4320" w:hanging="360"/>
      </w:pPr>
    </w:lvl>
    <w:lvl w:ilvl="6">
      <w:start w:val="1"/>
      <w:numFmt w:val="russianLower"/>
      <w:isLgl w:val="false"/>
      <w:suff w:val="tab"/>
      <w:lvlText w:val="%7)"/>
      <w:lvlJc w:val="left"/>
      <w:pPr>
        <w:ind w:left="5040" w:hanging="360"/>
      </w:pPr>
    </w:lvl>
    <w:lvl w:ilvl="7">
      <w:start w:val="1"/>
      <w:numFmt w:val="decimal"/>
      <w:isLgl w:val="false"/>
      <w:suff w:val="tab"/>
      <w:lvlText w:val="%8)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)"/>
      <w:lvlJc w:val="right"/>
      <w:pPr>
        <w:ind w:left="6480" w:hanging="36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widowControl w:val="off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  <w:widowControl w:val="off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  <w:widowControl w:val="off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3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widowControl w:val="off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widowControl w:val="off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widowControl w:val="off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36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widowControl w:val="off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  <w:widowControl w:val="off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  <w:widowControl w:val="off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3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widowControl w:val="off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widowControl w:val="off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widowControl w:val="off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4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widowControl w:val="off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  <w:widowControl w:val="off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  <w:widowControl w:val="off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4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widowControl w:val="off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widowControl w:val="off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widowControl w:val="off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4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4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4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48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widowControl w:val="off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  <w:widowControl w:val="off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  <w:widowControl w:val="off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4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5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5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widowControl w:val="off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widowControl w:val="off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widowControl w:val="off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5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5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55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widowControl w:val="off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  <w:widowControl w:val="off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  <w:widowControl w:val="off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5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58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widowControl w:val="off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  <w:widowControl w:val="off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  <w:widowControl w:val="off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5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6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2138" w:hanging="360"/>
        <w:widowControl w:val="off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858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578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298" w:hanging="360"/>
        <w:widowControl w:val="off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5018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738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458" w:hanging="360"/>
        <w:widowControl w:val="off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7178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898" w:hanging="360"/>
        <w:widowControl w:val="off"/>
      </w:pPr>
      <w:rPr>
        <w:rFonts w:ascii="Wingdings" w:hAnsi="Wingdings"/>
      </w:rPr>
    </w:lvl>
  </w:abstractNum>
  <w:abstractNum w:abstractNumId="6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6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widowControl w:val="off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  <w:widowControl w:val="off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  <w:widowControl w:val="off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6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6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6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2138" w:hanging="360"/>
        <w:widowControl w:val="off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858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578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298" w:hanging="360"/>
        <w:widowControl w:val="off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5018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738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458" w:hanging="360"/>
        <w:widowControl w:val="off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7178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898" w:hanging="360"/>
        <w:widowControl w:val="off"/>
      </w:pPr>
      <w:rPr>
        <w:rFonts w:ascii="Wingdings" w:hAnsi="Wingdings"/>
      </w:rPr>
    </w:lvl>
  </w:abstractNum>
  <w:abstractNum w:abstractNumId="6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6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69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widowControl w:val="off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  <w:widowControl w:val="off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  <w:widowControl w:val="off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7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7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7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7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2138" w:hanging="360"/>
        <w:widowControl w:val="off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858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578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298" w:hanging="360"/>
        <w:widowControl w:val="off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5018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738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458" w:hanging="360"/>
        <w:widowControl w:val="off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7178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898" w:hanging="360"/>
        <w:widowControl w:val="off"/>
      </w:pPr>
      <w:rPr>
        <w:rFonts w:ascii="Wingdings" w:hAnsi="Wingdings"/>
      </w:rPr>
    </w:lvl>
  </w:abstractNum>
  <w:abstractNum w:abstractNumId="7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7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77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widowControl w:val="off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  <w:widowControl w:val="off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  <w:widowControl w:val="off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7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8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8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2138" w:hanging="360"/>
        <w:widowControl w:val="off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858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578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298" w:hanging="360"/>
        <w:widowControl w:val="off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5018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738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458" w:hanging="360"/>
        <w:widowControl w:val="off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7178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898" w:hanging="360"/>
        <w:widowControl w:val="off"/>
      </w:pPr>
      <w:rPr>
        <w:rFonts w:ascii="Wingdings" w:hAnsi="Wingdings"/>
      </w:rPr>
    </w:lvl>
  </w:abstractNum>
  <w:abstractNum w:abstractNumId="8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8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84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widowControl w:val="off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  <w:widowControl w:val="off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  <w:widowControl w:val="off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8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8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8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8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2138" w:hanging="360"/>
        <w:widowControl w:val="off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858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578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298" w:hanging="360"/>
        <w:widowControl w:val="off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5018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738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458" w:hanging="360"/>
        <w:widowControl w:val="off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7178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898" w:hanging="360"/>
        <w:widowControl w:val="off"/>
      </w:pPr>
      <w:rPr>
        <w:rFonts w:ascii="Wingdings" w:hAnsi="Wingdings"/>
      </w:rPr>
    </w:lvl>
  </w:abstractNum>
  <w:abstractNum w:abstractNumId="9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9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9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93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widowControl w:val="off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  <w:widowControl w:val="off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  <w:widowControl w:val="off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9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9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9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/>
        <w:tabs>
          <w:tab w:val="left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/>
        <w:tabs>
          <w:tab w:val="left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/>
        <w:tabs>
          <w:tab w:val="left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/>
        <w:tabs>
          <w:tab w:val="left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/>
        <w:tabs>
          <w:tab w:val="left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/>
        <w:tabs>
          <w:tab w:val="left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  <w:tabs>
          <w:tab w:val="left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/>
        <w:tabs>
          <w:tab w:val="left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/>
        <w:tabs>
          <w:tab w:val="left" w:pos="0" w:leader="none"/>
        </w:tabs>
      </w:pPr>
    </w:lvl>
  </w:abstractNum>
  <w:abstractNum w:abstractNumId="9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2138" w:hanging="360"/>
        <w:widowControl/>
        <w:tabs>
          <w:tab w:val="left" w:pos="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858" w:hanging="360"/>
        <w:widowControl/>
        <w:tabs>
          <w:tab w:val="left" w:pos="0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578" w:hanging="360"/>
        <w:widowControl/>
        <w:tabs>
          <w:tab w:val="left" w:pos="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298" w:hanging="360"/>
        <w:widowControl/>
        <w:tabs>
          <w:tab w:val="left" w:pos="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5018" w:hanging="360"/>
        <w:widowControl/>
        <w:tabs>
          <w:tab w:val="left" w:pos="0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738" w:hanging="360"/>
        <w:widowControl/>
        <w:tabs>
          <w:tab w:val="left" w:pos="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458" w:hanging="360"/>
        <w:widowControl/>
        <w:tabs>
          <w:tab w:val="left" w:pos="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7178" w:hanging="360"/>
        <w:widowControl/>
        <w:tabs>
          <w:tab w:val="left" w:pos="0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898" w:hanging="360"/>
        <w:widowControl/>
        <w:tabs>
          <w:tab w:val="left" w:pos="0" w:leader="none"/>
        </w:tabs>
      </w:pPr>
      <w:rPr>
        <w:rFonts w:ascii="Wingdings" w:hAnsi="Wingdings"/>
      </w:rPr>
    </w:lvl>
  </w:abstractNum>
  <w:abstractNum w:abstractNumId="9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/>
        <w:tabs>
          <w:tab w:val="left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/>
        <w:tabs>
          <w:tab w:val="left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/>
        <w:tabs>
          <w:tab w:val="left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/>
        <w:tabs>
          <w:tab w:val="left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/>
        <w:tabs>
          <w:tab w:val="left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/>
        <w:tabs>
          <w:tab w:val="left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  <w:tabs>
          <w:tab w:val="left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/>
        <w:tabs>
          <w:tab w:val="left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/>
        <w:tabs>
          <w:tab w:val="left" w:pos="0" w:leader="none"/>
        </w:tabs>
      </w:pPr>
    </w:lvl>
  </w:abstractNum>
  <w:abstractNum w:abstractNumId="9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/>
        <w:tabs>
          <w:tab w:val="left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/>
        <w:tabs>
          <w:tab w:val="left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/>
        <w:tabs>
          <w:tab w:val="left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/>
        <w:tabs>
          <w:tab w:val="left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/>
        <w:tabs>
          <w:tab w:val="left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/>
        <w:tabs>
          <w:tab w:val="left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  <w:tabs>
          <w:tab w:val="left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/>
        <w:tabs>
          <w:tab w:val="left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/>
        <w:tabs>
          <w:tab w:val="left" w:pos="0" w:leader="none"/>
        </w:tabs>
      </w:pPr>
    </w:lvl>
  </w:abstractNum>
  <w:abstractNum w:abstractNumId="10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widowControl/>
        <w:tabs>
          <w:tab w:val="left" w:pos="0" w:leader="none"/>
        </w:tabs>
      </w:pPr>
      <w:rPr>
        <w:rFonts w:ascii="Calibri" w:hAnsi="Calibri"/>
      </w:rPr>
    </w:lvl>
    <w:lvl w:ilvl="1">
      <w:start w:val="0"/>
      <w:numFmt w:val="bullet"/>
      <w:isLgl w:val="false"/>
      <w:suff w:val="tab"/>
      <w:lvlText w:val="o"/>
      <w:lvlJc w:val="left"/>
      <w:pPr>
        <w:ind w:left="1440" w:hanging="360"/>
        <w:widowControl/>
        <w:tabs>
          <w:tab w:val="left" w:pos="0" w:leader="none"/>
        </w:tabs>
      </w:pPr>
      <w:rPr>
        <w:rFonts w:ascii="Courier New" w:hAnsi="Courier New"/>
      </w:rPr>
    </w:lvl>
    <w:lvl w:ilvl="2">
      <w:start w:val="0"/>
      <w:numFmt w:val="bullet"/>
      <w:isLgl w:val="false"/>
      <w:suff w:val="tab"/>
      <w:lvlText w:val=""/>
      <w:lvlJc w:val="left"/>
      <w:pPr>
        <w:ind w:left="2160" w:hanging="360"/>
        <w:widowControl/>
        <w:tabs>
          <w:tab w:val="left" w:pos="0" w:leader="none"/>
        </w:tabs>
      </w:pPr>
      <w:rPr>
        <w:rFonts w:ascii="Wingdings" w:hAnsi="Wingdings"/>
      </w:rPr>
    </w:lvl>
    <w:lvl w:ilvl="3">
      <w:start w:val="0"/>
      <w:numFmt w:val="bullet"/>
      <w:isLgl w:val="false"/>
      <w:suff w:val="tab"/>
      <w:lvlText w:val="-"/>
      <w:lvlJc w:val="left"/>
      <w:pPr>
        <w:ind w:left="2880" w:hanging="360"/>
        <w:widowControl/>
        <w:tabs>
          <w:tab w:val="left" w:pos="0" w:leader="none"/>
        </w:tabs>
      </w:pPr>
      <w:rPr>
        <w:rFonts w:ascii="Calibri" w:hAnsi="Calibri"/>
      </w:rPr>
    </w:lvl>
    <w:lvl w:ilvl="4">
      <w:start w:val="0"/>
      <w:numFmt w:val="bullet"/>
      <w:isLgl w:val="false"/>
      <w:suff w:val="tab"/>
      <w:lvlText w:val="o"/>
      <w:lvlJc w:val="left"/>
      <w:pPr>
        <w:ind w:left="3600" w:hanging="360"/>
        <w:widowControl/>
        <w:tabs>
          <w:tab w:val="left" w:pos="0" w:leader="none"/>
        </w:tabs>
      </w:pPr>
      <w:rPr>
        <w:rFonts w:ascii="Courier New" w:hAnsi="Courier New"/>
      </w:rPr>
    </w:lvl>
    <w:lvl w:ilvl="5">
      <w:start w:val="0"/>
      <w:numFmt w:val="bullet"/>
      <w:isLgl w:val="false"/>
      <w:suff w:val="tab"/>
      <w:lvlText w:val=""/>
      <w:lvlJc w:val="left"/>
      <w:pPr>
        <w:ind w:left="4320" w:hanging="360"/>
        <w:widowControl/>
        <w:tabs>
          <w:tab w:val="left" w:pos="0" w:leader="none"/>
        </w:tabs>
      </w:pPr>
      <w:rPr>
        <w:rFonts w:ascii="Wingdings" w:hAnsi="Wingdings"/>
      </w:rPr>
    </w:lvl>
    <w:lvl w:ilvl="6">
      <w:start w:val="0"/>
      <w:numFmt w:val="bullet"/>
      <w:isLgl w:val="false"/>
      <w:suff w:val="tab"/>
      <w:lvlText w:val="-"/>
      <w:lvlJc w:val="left"/>
      <w:pPr>
        <w:ind w:left="5040" w:hanging="360"/>
        <w:widowControl/>
        <w:tabs>
          <w:tab w:val="left" w:pos="0" w:leader="none"/>
        </w:tabs>
      </w:pPr>
      <w:rPr>
        <w:rFonts w:ascii="Calibri" w:hAnsi="Calibri"/>
      </w:rPr>
    </w:lvl>
    <w:lvl w:ilvl="7">
      <w:start w:val="0"/>
      <w:numFmt w:val="bullet"/>
      <w:isLgl w:val="false"/>
      <w:suff w:val="tab"/>
      <w:lvlText w:val="o"/>
      <w:lvlJc w:val="left"/>
      <w:pPr>
        <w:ind w:left="5760" w:hanging="360"/>
        <w:widowControl/>
        <w:tabs>
          <w:tab w:val="left" w:pos="0" w:leader="none"/>
        </w:tabs>
      </w:pPr>
      <w:rPr>
        <w:rFonts w:ascii="Courier New" w:hAnsi="Courier New"/>
      </w:rPr>
    </w:lvl>
    <w:lvl w:ilvl="8">
      <w:start w:val="0"/>
      <w:numFmt w:val="bullet"/>
      <w:isLgl w:val="false"/>
      <w:suff w:val="tab"/>
      <w:lvlText w:val=""/>
      <w:lvlJc w:val="left"/>
      <w:pPr>
        <w:ind w:left="6480" w:hanging="360"/>
        <w:widowControl/>
        <w:tabs>
          <w:tab w:val="left" w:pos="0" w:leader="none"/>
        </w:tabs>
      </w:pPr>
      <w:rPr>
        <w:rFonts w:ascii="Wingdings" w:hAnsi="Wingdings"/>
      </w:rPr>
    </w:lvl>
  </w:abstractNum>
  <w:abstractNum w:abstractNumId="10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10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widowControl w:val="off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widowControl w:val="off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widowControl w:val="off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10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10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10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106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widowControl w:val="off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  <w:widowControl w:val="off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  <w:widowControl w:val="off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10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0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/>
        <w:tabs>
          <w:tab w:val="left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/>
        <w:tabs>
          <w:tab w:val="left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/>
        <w:tabs>
          <w:tab w:val="left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/>
        <w:tabs>
          <w:tab w:val="left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/>
        <w:tabs>
          <w:tab w:val="left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/>
        <w:tabs>
          <w:tab w:val="left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  <w:tabs>
          <w:tab w:val="left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/>
        <w:tabs>
          <w:tab w:val="left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/>
        <w:tabs>
          <w:tab w:val="left" w:pos="0" w:leader="none"/>
        </w:tabs>
      </w:pPr>
    </w:lvl>
  </w:abstractNum>
  <w:abstractNum w:abstractNumId="10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/>
        <w:tabs>
          <w:tab w:val="left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/>
        <w:tabs>
          <w:tab w:val="left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/>
        <w:tabs>
          <w:tab w:val="left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/>
        <w:tabs>
          <w:tab w:val="left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/>
        <w:tabs>
          <w:tab w:val="left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/>
        <w:tabs>
          <w:tab w:val="left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  <w:tabs>
          <w:tab w:val="left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/>
        <w:tabs>
          <w:tab w:val="left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/>
        <w:tabs>
          <w:tab w:val="left" w:pos="0" w:leader="none"/>
        </w:tabs>
      </w:pPr>
    </w:lvl>
  </w:abstractNum>
  <w:abstractNum w:abstractNumId="11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2138" w:hanging="360"/>
        <w:widowControl/>
        <w:tabs>
          <w:tab w:val="left" w:pos="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858" w:hanging="360"/>
        <w:widowControl/>
        <w:tabs>
          <w:tab w:val="left" w:pos="0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578" w:hanging="360"/>
        <w:widowControl/>
        <w:tabs>
          <w:tab w:val="left" w:pos="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298" w:hanging="360"/>
        <w:widowControl/>
        <w:tabs>
          <w:tab w:val="left" w:pos="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5018" w:hanging="360"/>
        <w:widowControl/>
        <w:tabs>
          <w:tab w:val="left" w:pos="0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738" w:hanging="360"/>
        <w:widowControl/>
        <w:tabs>
          <w:tab w:val="left" w:pos="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458" w:hanging="360"/>
        <w:widowControl/>
        <w:tabs>
          <w:tab w:val="left" w:pos="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7178" w:hanging="360"/>
        <w:widowControl/>
        <w:tabs>
          <w:tab w:val="left" w:pos="0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898" w:hanging="360"/>
        <w:widowControl/>
        <w:tabs>
          <w:tab w:val="left" w:pos="0" w:leader="none"/>
        </w:tabs>
      </w:pPr>
      <w:rPr>
        <w:rFonts w:ascii="Wingdings" w:hAnsi="Wingdings"/>
      </w:rPr>
    </w:lvl>
  </w:abstractNum>
  <w:abstractNum w:abstractNumId="1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/>
        <w:tabs>
          <w:tab w:val="left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/>
        <w:tabs>
          <w:tab w:val="left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/>
        <w:tabs>
          <w:tab w:val="left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/>
        <w:tabs>
          <w:tab w:val="left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/>
        <w:tabs>
          <w:tab w:val="left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/>
        <w:tabs>
          <w:tab w:val="left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  <w:tabs>
          <w:tab w:val="left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/>
        <w:tabs>
          <w:tab w:val="left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/>
        <w:tabs>
          <w:tab w:val="left" w:pos="0" w:leader="none"/>
        </w:tabs>
      </w:pPr>
    </w:lvl>
  </w:abstractNum>
  <w:abstractNum w:abstractNumId="1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/>
        <w:tabs>
          <w:tab w:val="left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/>
        <w:tabs>
          <w:tab w:val="left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/>
        <w:tabs>
          <w:tab w:val="left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/>
        <w:tabs>
          <w:tab w:val="left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/>
        <w:tabs>
          <w:tab w:val="left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/>
        <w:tabs>
          <w:tab w:val="left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  <w:tabs>
          <w:tab w:val="left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/>
        <w:tabs>
          <w:tab w:val="left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/>
        <w:tabs>
          <w:tab w:val="left" w:pos="0" w:leader="none"/>
        </w:tabs>
      </w:pPr>
    </w:lvl>
  </w:abstractNum>
  <w:abstractNum w:abstractNumId="1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/>
        <w:tabs>
          <w:tab w:val="left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/>
        <w:tabs>
          <w:tab w:val="left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/>
        <w:tabs>
          <w:tab w:val="left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/>
        <w:tabs>
          <w:tab w:val="left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/>
        <w:tabs>
          <w:tab w:val="left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/>
        <w:tabs>
          <w:tab w:val="left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  <w:tabs>
          <w:tab w:val="left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/>
        <w:tabs>
          <w:tab w:val="left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/>
        <w:tabs>
          <w:tab w:val="left" w:pos="0" w:leader="none"/>
        </w:tabs>
      </w:pPr>
    </w:lvl>
  </w:abstractNum>
  <w:abstractNum w:abstractNumId="114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widowControl/>
        <w:tabs>
          <w:tab w:val="left" w:pos="0" w:leader="none"/>
        </w:tabs>
      </w:pPr>
      <w:rPr>
        <w:rFonts w:ascii="Calibri" w:hAnsi="Calibri"/>
      </w:rPr>
    </w:lvl>
    <w:lvl w:ilvl="1">
      <w:start w:val="0"/>
      <w:numFmt w:val="bullet"/>
      <w:isLgl w:val="false"/>
      <w:suff w:val="tab"/>
      <w:lvlText w:val="o"/>
      <w:lvlJc w:val="left"/>
      <w:pPr>
        <w:ind w:left="1440" w:hanging="360"/>
        <w:widowControl/>
        <w:tabs>
          <w:tab w:val="left" w:pos="0" w:leader="none"/>
        </w:tabs>
      </w:pPr>
      <w:rPr>
        <w:rFonts w:ascii="Courier New" w:hAnsi="Courier New"/>
      </w:rPr>
    </w:lvl>
    <w:lvl w:ilvl="2">
      <w:start w:val="0"/>
      <w:numFmt w:val="bullet"/>
      <w:isLgl w:val="false"/>
      <w:suff w:val="tab"/>
      <w:lvlText w:val=""/>
      <w:lvlJc w:val="left"/>
      <w:pPr>
        <w:ind w:left="2160" w:hanging="360"/>
        <w:widowControl/>
        <w:tabs>
          <w:tab w:val="left" w:pos="0" w:leader="none"/>
        </w:tabs>
      </w:pPr>
      <w:rPr>
        <w:rFonts w:ascii="Wingdings" w:hAnsi="Wingdings"/>
      </w:rPr>
    </w:lvl>
    <w:lvl w:ilvl="3">
      <w:start w:val="0"/>
      <w:numFmt w:val="bullet"/>
      <w:isLgl w:val="false"/>
      <w:suff w:val="tab"/>
      <w:lvlText w:val="-"/>
      <w:lvlJc w:val="left"/>
      <w:pPr>
        <w:ind w:left="2880" w:hanging="360"/>
        <w:widowControl/>
        <w:tabs>
          <w:tab w:val="left" w:pos="0" w:leader="none"/>
        </w:tabs>
      </w:pPr>
      <w:rPr>
        <w:rFonts w:ascii="Calibri" w:hAnsi="Calibri"/>
      </w:rPr>
    </w:lvl>
    <w:lvl w:ilvl="4">
      <w:start w:val="0"/>
      <w:numFmt w:val="bullet"/>
      <w:isLgl w:val="false"/>
      <w:suff w:val="tab"/>
      <w:lvlText w:val="o"/>
      <w:lvlJc w:val="left"/>
      <w:pPr>
        <w:ind w:left="3600" w:hanging="360"/>
        <w:widowControl/>
        <w:tabs>
          <w:tab w:val="left" w:pos="0" w:leader="none"/>
        </w:tabs>
      </w:pPr>
      <w:rPr>
        <w:rFonts w:ascii="Courier New" w:hAnsi="Courier New"/>
      </w:rPr>
    </w:lvl>
    <w:lvl w:ilvl="5">
      <w:start w:val="0"/>
      <w:numFmt w:val="bullet"/>
      <w:isLgl w:val="false"/>
      <w:suff w:val="tab"/>
      <w:lvlText w:val=""/>
      <w:lvlJc w:val="left"/>
      <w:pPr>
        <w:ind w:left="4320" w:hanging="360"/>
        <w:widowControl/>
        <w:tabs>
          <w:tab w:val="left" w:pos="0" w:leader="none"/>
        </w:tabs>
      </w:pPr>
      <w:rPr>
        <w:rFonts w:ascii="Wingdings" w:hAnsi="Wingdings"/>
      </w:rPr>
    </w:lvl>
    <w:lvl w:ilvl="6">
      <w:start w:val="0"/>
      <w:numFmt w:val="bullet"/>
      <w:isLgl w:val="false"/>
      <w:suff w:val="tab"/>
      <w:lvlText w:val="-"/>
      <w:lvlJc w:val="left"/>
      <w:pPr>
        <w:ind w:left="5040" w:hanging="360"/>
        <w:widowControl/>
        <w:tabs>
          <w:tab w:val="left" w:pos="0" w:leader="none"/>
        </w:tabs>
      </w:pPr>
      <w:rPr>
        <w:rFonts w:ascii="Calibri" w:hAnsi="Calibri"/>
      </w:rPr>
    </w:lvl>
    <w:lvl w:ilvl="7">
      <w:start w:val="0"/>
      <w:numFmt w:val="bullet"/>
      <w:isLgl w:val="false"/>
      <w:suff w:val="tab"/>
      <w:lvlText w:val="o"/>
      <w:lvlJc w:val="left"/>
      <w:pPr>
        <w:ind w:left="5760" w:hanging="360"/>
        <w:widowControl/>
        <w:tabs>
          <w:tab w:val="left" w:pos="0" w:leader="none"/>
        </w:tabs>
      </w:pPr>
      <w:rPr>
        <w:rFonts w:ascii="Courier New" w:hAnsi="Courier New"/>
      </w:rPr>
    </w:lvl>
    <w:lvl w:ilvl="8">
      <w:start w:val="0"/>
      <w:numFmt w:val="bullet"/>
      <w:isLgl w:val="false"/>
      <w:suff w:val="tab"/>
      <w:lvlText w:val=""/>
      <w:lvlJc w:val="left"/>
      <w:pPr>
        <w:ind w:left="6480" w:hanging="360"/>
        <w:widowControl/>
        <w:tabs>
          <w:tab w:val="left" w:pos="0" w:leader="none"/>
        </w:tabs>
      </w:pPr>
      <w:rPr>
        <w:rFonts w:ascii="Wingdings" w:hAnsi="Wingdings"/>
      </w:rPr>
    </w:lvl>
  </w:abstractNum>
  <w:abstractNum w:abstractNumId="1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/>
        <w:tabs>
          <w:tab w:val="left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/>
        <w:tabs>
          <w:tab w:val="left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/>
        <w:tabs>
          <w:tab w:val="left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/>
        <w:tabs>
          <w:tab w:val="left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/>
        <w:tabs>
          <w:tab w:val="left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/>
        <w:tabs>
          <w:tab w:val="left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  <w:tabs>
          <w:tab w:val="left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/>
        <w:tabs>
          <w:tab w:val="left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/>
        <w:tabs>
          <w:tab w:val="left" w:pos="0" w:leader="none"/>
        </w:tabs>
      </w:pPr>
    </w:lvl>
  </w:abstractNum>
  <w:abstractNum w:abstractNumId="1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1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11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widowControl w:val="off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widowControl w:val="off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widowControl w:val="off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1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12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widowControl w:val="off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widowControl w:val="off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widowControl w:val="off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  <w:widowControl w:val="off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widowControl w:val="off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widowControl w:val="off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  <w:widowControl w:val="off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widowControl w:val="off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widowControl w:val="off"/>
      </w:pPr>
      <w:rPr>
        <w:rFonts w:ascii="Wingdings" w:hAnsi="Wingdings"/>
      </w:rPr>
    </w:lvl>
  </w:abstractNum>
  <w:abstractNum w:abstractNumId="1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1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1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  <w:num w:numId="66">
    <w:abstractNumId w:val="65"/>
  </w:num>
  <w:num w:numId="67">
    <w:abstractNumId w:val="66"/>
  </w:num>
  <w:num w:numId="68">
    <w:abstractNumId w:val="67"/>
  </w:num>
  <w:num w:numId="69">
    <w:abstractNumId w:val="68"/>
  </w:num>
  <w:num w:numId="70">
    <w:abstractNumId w:val="69"/>
  </w:num>
  <w:num w:numId="71">
    <w:abstractNumId w:val="70"/>
  </w:num>
  <w:num w:numId="72">
    <w:abstractNumId w:val="71"/>
  </w:num>
  <w:num w:numId="73">
    <w:abstractNumId w:val="72"/>
  </w:num>
  <w:num w:numId="74">
    <w:abstractNumId w:val="73"/>
  </w:num>
  <w:num w:numId="75">
    <w:abstractNumId w:val="74"/>
  </w:num>
  <w:num w:numId="76">
    <w:abstractNumId w:val="75"/>
  </w:num>
  <w:num w:numId="77">
    <w:abstractNumId w:val="76"/>
  </w:num>
  <w:num w:numId="78">
    <w:abstractNumId w:val="77"/>
  </w:num>
  <w:num w:numId="79">
    <w:abstractNumId w:val="78"/>
  </w:num>
  <w:num w:numId="80">
    <w:abstractNumId w:val="79"/>
  </w:num>
  <w:num w:numId="81">
    <w:abstractNumId w:val="80"/>
  </w:num>
  <w:num w:numId="82">
    <w:abstractNumId w:val="81"/>
  </w:num>
  <w:num w:numId="83">
    <w:abstractNumId w:val="82"/>
  </w:num>
  <w:num w:numId="84">
    <w:abstractNumId w:val="83"/>
  </w:num>
  <w:num w:numId="85">
    <w:abstractNumId w:val="84"/>
  </w:num>
  <w:num w:numId="86">
    <w:abstractNumId w:val="85"/>
  </w:num>
  <w:num w:numId="87">
    <w:abstractNumId w:val="86"/>
  </w:num>
  <w:num w:numId="88">
    <w:abstractNumId w:val="87"/>
  </w:num>
  <w:num w:numId="89">
    <w:abstractNumId w:val="88"/>
  </w:num>
  <w:num w:numId="90">
    <w:abstractNumId w:val="89"/>
  </w:num>
  <w:num w:numId="91">
    <w:abstractNumId w:val="90"/>
  </w:num>
  <w:num w:numId="92">
    <w:abstractNumId w:val="91"/>
  </w:num>
  <w:num w:numId="93">
    <w:abstractNumId w:val="92"/>
  </w:num>
  <w:num w:numId="94">
    <w:abstractNumId w:val="93"/>
  </w:num>
  <w:num w:numId="95">
    <w:abstractNumId w:val="94"/>
  </w:num>
  <w:num w:numId="96">
    <w:abstractNumId w:val="95"/>
  </w:num>
  <w:num w:numId="97">
    <w:abstractNumId w:val="96"/>
  </w:num>
  <w:num w:numId="98">
    <w:abstractNumId w:val="97"/>
  </w:num>
  <w:num w:numId="99">
    <w:abstractNumId w:val="98"/>
  </w:num>
  <w:num w:numId="100">
    <w:abstractNumId w:val="99"/>
  </w:num>
  <w:num w:numId="101">
    <w:abstractNumId w:val="100"/>
  </w:num>
  <w:num w:numId="102">
    <w:abstractNumId w:val="101"/>
  </w:num>
  <w:num w:numId="103">
    <w:abstractNumId w:val="102"/>
  </w:num>
  <w:num w:numId="104">
    <w:abstractNumId w:val="103"/>
  </w:num>
  <w:num w:numId="105">
    <w:abstractNumId w:val="104"/>
  </w:num>
  <w:num w:numId="106">
    <w:abstractNumId w:val="105"/>
  </w:num>
  <w:num w:numId="107">
    <w:abstractNumId w:val="106"/>
  </w:num>
  <w:num w:numId="108">
    <w:abstractNumId w:val="107"/>
  </w:num>
  <w:num w:numId="109">
    <w:abstractNumId w:val="108"/>
  </w:num>
  <w:num w:numId="110">
    <w:abstractNumId w:val="109"/>
  </w:num>
  <w:num w:numId="111">
    <w:abstractNumId w:val="110"/>
  </w:num>
  <w:num w:numId="112">
    <w:abstractNumId w:val="111"/>
  </w:num>
  <w:num w:numId="113">
    <w:abstractNumId w:val="112"/>
  </w:num>
  <w:num w:numId="114">
    <w:abstractNumId w:val="113"/>
  </w:num>
  <w:num w:numId="115">
    <w:abstractNumId w:val="114"/>
  </w:num>
  <w:num w:numId="116">
    <w:abstractNumId w:val="115"/>
  </w:num>
  <w:num w:numId="117">
    <w:abstractNumId w:val="116"/>
  </w:num>
  <w:num w:numId="118">
    <w:abstractNumId w:val="117"/>
  </w:num>
  <w:num w:numId="119">
    <w:abstractNumId w:val="118"/>
  </w:num>
  <w:num w:numId="120">
    <w:abstractNumId w:val="119"/>
  </w:num>
  <w:num w:numId="121">
    <w:abstractNumId w:val="120"/>
  </w:num>
  <w:num w:numId="122">
    <w:abstractNumId w:val="121"/>
  </w:num>
  <w:num w:numId="123">
    <w:abstractNumId w:val="122"/>
  </w:num>
  <w:num w:numId="124">
    <w:abstractNumId w:val="1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Ascii" w:hAnsiTheme="minorHAnsi"/>
        <w:color w:val="000000"/>
        <w:sz w:val="22"/>
        <w:lang w:val="ru-RU" w:eastAsia="zh-CN" w:bidi="ar-SA"/>
      </w:rPr>
    </w:rPrDefault>
    <w:pPrDefault>
      <w:pPr>
        <w:spacing w:before="0" w:beforeAutospacing="0" w:after="160" w:afterAutospacing="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931">
    <w:name w:val="Heading 1 Char"/>
    <w:basedOn w:val="1172"/>
    <w:link w:val="1158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932">
    <w:name w:val="Heading 2 Char"/>
    <w:basedOn w:val="1172"/>
    <w:link w:val="1226"/>
    <w:uiPriority w:val="9"/>
    <w:rPr>
      <w:rFonts w:ascii="Liberation Sans" w:hAnsi="Liberation Sans" w:eastAsia="Liberation Sans" w:cs="Liberation Sans"/>
      <w:sz w:val="34"/>
    </w:rPr>
  </w:style>
  <w:style w:type="character" w:styleId="933">
    <w:name w:val="Heading 3 Char"/>
    <w:basedOn w:val="1172"/>
    <w:link w:val="1110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934">
    <w:name w:val="Heading 4 Char"/>
    <w:basedOn w:val="1172"/>
    <w:link w:val="1224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935">
    <w:name w:val="Heading 5 Char"/>
    <w:basedOn w:val="1172"/>
    <w:link w:val="115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936">
    <w:name w:val="Heading 6"/>
    <w:basedOn w:val="1086"/>
    <w:next w:val="1086"/>
    <w:link w:val="937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937">
    <w:name w:val="Heading 6 Char"/>
    <w:basedOn w:val="1172"/>
    <w:link w:val="936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938">
    <w:name w:val="Heading 7"/>
    <w:basedOn w:val="1086"/>
    <w:next w:val="1086"/>
    <w:link w:val="939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939">
    <w:name w:val="Heading 7 Char"/>
    <w:basedOn w:val="1172"/>
    <w:link w:val="938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940">
    <w:name w:val="Heading 8"/>
    <w:basedOn w:val="1086"/>
    <w:next w:val="1086"/>
    <w:link w:val="941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941">
    <w:name w:val="Heading 8 Char"/>
    <w:basedOn w:val="1172"/>
    <w:link w:val="940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942">
    <w:name w:val="Heading 9"/>
    <w:basedOn w:val="1086"/>
    <w:next w:val="1086"/>
    <w:link w:val="943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943">
    <w:name w:val="Heading 9 Char"/>
    <w:basedOn w:val="1172"/>
    <w:link w:val="942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944">
    <w:name w:val="Title Char"/>
    <w:basedOn w:val="1172"/>
    <w:link w:val="1222"/>
    <w:uiPriority w:val="10"/>
    <w:rPr>
      <w:sz w:val="48"/>
      <w:szCs w:val="48"/>
    </w:rPr>
  </w:style>
  <w:style w:type="character" w:styleId="945">
    <w:name w:val="Subtitle Char"/>
    <w:basedOn w:val="1172"/>
    <w:link w:val="1208"/>
    <w:uiPriority w:val="11"/>
    <w:rPr>
      <w:sz w:val="24"/>
      <w:szCs w:val="24"/>
    </w:rPr>
  </w:style>
  <w:style w:type="paragraph" w:styleId="946">
    <w:name w:val="Quote"/>
    <w:basedOn w:val="1086"/>
    <w:next w:val="1086"/>
    <w:link w:val="947"/>
    <w:uiPriority w:val="29"/>
    <w:qFormat/>
    <w:pPr>
      <w:ind w:left="720" w:right="720"/>
    </w:pPr>
    <w:rPr>
      <w:i/>
    </w:rPr>
  </w:style>
  <w:style w:type="character" w:styleId="947">
    <w:name w:val="Quote Char"/>
    <w:link w:val="946"/>
    <w:uiPriority w:val="29"/>
    <w:rPr>
      <w:i/>
    </w:rPr>
  </w:style>
  <w:style w:type="paragraph" w:styleId="948">
    <w:name w:val="Intense Quote"/>
    <w:basedOn w:val="1086"/>
    <w:next w:val="1086"/>
    <w:link w:val="94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949">
    <w:name w:val="Intense Quote Char"/>
    <w:link w:val="948"/>
    <w:uiPriority w:val="30"/>
    <w:rPr>
      <w:i/>
    </w:rPr>
  </w:style>
  <w:style w:type="character" w:styleId="950">
    <w:name w:val="Header Char"/>
    <w:basedOn w:val="1172"/>
    <w:link w:val="1128"/>
    <w:uiPriority w:val="99"/>
  </w:style>
  <w:style w:type="character" w:styleId="951">
    <w:name w:val="Footer Char"/>
    <w:basedOn w:val="1172"/>
    <w:link w:val="1210"/>
    <w:uiPriority w:val="99"/>
  </w:style>
  <w:style w:type="paragraph" w:styleId="952">
    <w:name w:val="Caption"/>
    <w:basedOn w:val="1086"/>
    <w:next w:val="1086"/>
    <w:link w:val="95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953">
    <w:name w:val="Caption Char"/>
    <w:basedOn w:val="1172"/>
    <w:link w:val="952"/>
    <w:uiPriority w:val="35"/>
    <w:rPr>
      <w:b/>
      <w:bCs/>
      <w:color w:val="4f81bd" w:themeColor="accent1"/>
      <w:sz w:val="18"/>
      <w:szCs w:val="18"/>
    </w:rPr>
  </w:style>
  <w:style w:type="table" w:styleId="954">
    <w:name w:val="Table Grid Light"/>
    <w:basedOn w:val="122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55">
    <w:name w:val="Plain Table 1"/>
    <w:basedOn w:val="122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956">
    <w:name w:val="Plain Table 2"/>
    <w:basedOn w:val="122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957">
    <w:name w:val="Plain Table 3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958">
    <w:name w:val="Plain Table 4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9">
    <w:name w:val="Plain Table 5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960">
    <w:name w:val="Grid Table 1 Light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1">
    <w:name w:val="Grid Table 1 Light - Accent 1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2">
    <w:name w:val="Grid Table 1 Light - Accent 2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3">
    <w:name w:val="Grid Table 1 Light - Accent 3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4">
    <w:name w:val="Grid Table 1 Light - Accent 4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5">
    <w:name w:val="Grid Table 1 Light - Accent 5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6">
    <w:name w:val="Grid Table 1 Light - Accent 6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7">
    <w:name w:val="Grid Table 2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8">
    <w:name w:val="Grid Table 2 - Accent 1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9">
    <w:name w:val="Grid Table 2 - Accent 2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0">
    <w:name w:val="Grid Table 2 - Accent 3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1">
    <w:name w:val="Grid Table 2 - Accent 4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2">
    <w:name w:val="Grid Table 2 - Accent 5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3">
    <w:name w:val="Grid Table 2 - Accent 6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4">
    <w:name w:val="Grid Table 3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5">
    <w:name w:val="Grid Table 3 - Accent 1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6">
    <w:name w:val="Grid Table 3 - Accent 2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7">
    <w:name w:val="Grid Table 3 - Accent 3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8">
    <w:name w:val="Grid Table 3 - Accent 4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9">
    <w:name w:val="Grid Table 3 - Accent 5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0">
    <w:name w:val="Grid Table 3 - Accent 6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1">
    <w:name w:val="Grid Table 4"/>
    <w:basedOn w:val="12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982">
    <w:name w:val="Grid Table 4 - Accent 1"/>
    <w:basedOn w:val="12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983">
    <w:name w:val="Grid Table 4 - Accent 2"/>
    <w:basedOn w:val="12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984">
    <w:name w:val="Grid Table 4 - Accent 3"/>
    <w:basedOn w:val="12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985">
    <w:name w:val="Grid Table 4 - Accent 4"/>
    <w:basedOn w:val="12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986">
    <w:name w:val="Grid Table 4 - Accent 5"/>
    <w:basedOn w:val="12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987">
    <w:name w:val="Grid Table 4 - Accent 6"/>
    <w:basedOn w:val="12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988">
    <w:name w:val="Grid Table 5 Dark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989">
    <w:name w:val="Grid Table 5 Dark- Accent 1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990">
    <w:name w:val="Grid Table 5 Dark - Accent 2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991">
    <w:name w:val="Grid Table 5 Dark - Accent 3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992">
    <w:name w:val="Grid Table 5 Dark- Accent 4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993">
    <w:name w:val="Grid Table 5 Dark - Accent 5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94">
    <w:name w:val="Grid Table 5 Dark - Accent 6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95">
    <w:name w:val="Grid Table 6 Colorful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96">
    <w:name w:val="Grid Table 6 Colorful - Accent 1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97">
    <w:name w:val="Grid Table 6 Colorful - Accent 2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98">
    <w:name w:val="Grid Table 6 Colorful - Accent 3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99">
    <w:name w:val="Grid Table 6 Colorful - Accent 4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1000">
    <w:name w:val="Grid Table 6 Colorful - Accent 5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1001">
    <w:name w:val="Grid Table 6 Colorful - Accent 6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1002">
    <w:name w:val="Grid Table 7 Colorful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3">
    <w:name w:val="Grid Table 7 Colorful - Accent 1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4">
    <w:name w:val="Grid Table 7 Colorful - Accent 2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5">
    <w:name w:val="Grid Table 7 Colorful - Accent 3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6">
    <w:name w:val="Grid Table 7 Colorful - Accent 4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7">
    <w:name w:val="Grid Table 7 Colorful - Accent 5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8">
    <w:name w:val="Grid Table 7 Colorful - Accent 6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9">
    <w:name w:val="List Table 1 Light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0">
    <w:name w:val="List Table 1 Light - Accent 1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1">
    <w:name w:val="List Table 1 Light - Accent 2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2">
    <w:name w:val="List Table 1 Light - Accent 3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3">
    <w:name w:val="List Table 1 Light - Accent 4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4">
    <w:name w:val="List Table 1 Light - Accent 5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5">
    <w:name w:val="List Table 1 Light - Accent 6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6">
    <w:name w:val="List Table 2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017">
    <w:name w:val="List Table 2 - Accent 1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018">
    <w:name w:val="List Table 2 - Accent 2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019">
    <w:name w:val="List Table 2 - Accent 3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020">
    <w:name w:val="List Table 2 - Accent 4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021">
    <w:name w:val="List Table 2 - Accent 5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022">
    <w:name w:val="List Table 2 - Accent 6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023">
    <w:name w:val="List Table 3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4">
    <w:name w:val="List Table 3 - Accent 1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5">
    <w:name w:val="List Table 3 - Accent 2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6">
    <w:name w:val="List Table 3 - Accent 3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7">
    <w:name w:val="List Table 3 - Accent 4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8">
    <w:name w:val="List Table 3 - Accent 5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9">
    <w:name w:val="List Table 3 - Accent 6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0">
    <w:name w:val="List Table 4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1">
    <w:name w:val="List Table 4 - Accent 1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2">
    <w:name w:val="List Table 4 - Accent 2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3">
    <w:name w:val="List Table 4 - Accent 3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4">
    <w:name w:val="List Table 4 - Accent 4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5">
    <w:name w:val="List Table 4 - Accent 5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6">
    <w:name w:val="List Table 4 - Accent 6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7">
    <w:name w:val="List Table 5 Dark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038">
    <w:name w:val="List Table 5 Dark - Accent 1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039">
    <w:name w:val="List Table 5 Dark - Accent 2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040">
    <w:name w:val="List Table 5 Dark - Accent 3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041">
    <w:name w:val="List Table 5 Dark - Accent 4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042">
    <w:name w:val="List Table 5 Dark - Accent 5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043">
    <w:name w:val="List Table 5 Dark - Accent 6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044">
    <w:name w:val="List Table 6 Colorful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045">
    <w:name w:val="List Table 6 Colorful - Accent 1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046">
    <w:name w:val="List Table 6 Colorful - Accent 2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047">
    <w:name w:val="List Table 6 Colorful - Accent 3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048">
    <w:name w:val="List Table 6 Colorful - Accent 4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049">
    <w:name w:val="List Table 6 Colorful - Accent 5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050">
    <w:name w:val="List Table 6 Colorful - Accent 6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051">
    <w:name w:val="List Table 7 Colorful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052">
    <w:name w:val="List Table 7 Colorful - Accent 1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053">
    <w:name w:val="List Table 7 Colorful - Accent 2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054">
    <w:name w:val="List Table 7 Colorful - Accent 3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055">
    <w:name w:val="List Table 7 Colorful - Accent 4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056">
    <w:name w:val="List Table 7 Colorful - Accent 5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057">
    <w:name w:val="List Table 7 Colorful - Accent 6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058">
    <w:name w:val="Lined - Accent"/>
    <w:basedOn w:val="12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059">
    <w:name w:val="Lined - Accent 1"/>
    <w:basedOn w:val="12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060">
    <w:name w:val="Lined - Accent 2"/>
    <w:basedOn w:val="12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061">
    <w:name w:val="Lined - Accent 3"/>
    <w:basedOn w:val="12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062">
    <w:name w:val="Lined - Accent 4"/>
    <w:basedOn w:val="12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063">
    <w:name w:val="Lined - Accent 5"/>
    <w:basedOn w:val="12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064">
    <w:name w:val="Lined - Accent 6"/>
    <w:basedOn w:val="12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065">
    <w:name w:val="Bordered &amp; Lined - Accent"/>
    <w:basedOn w:val="12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066">
    <w:name w:val="Bordered &amp; Lined - Accent 1"/>
    <w:basedOn w:val="12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067">
    <w:name w:val="Bordered &amp; Lined - Accent 2"/>
    <w:basedOn w:val="12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068">
    <w:name w:val="Bordered &amp; Lined - Accent 3"/>
    <w:basedOn w:val="12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069">
    <w:name w:val="Bordered &amp; Lined - Accent 4"/>
    <w:basedOn w:val="12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070">
    <w:name w:val="Bordered &amp; Lined - Accent 5"/>
    <w:basedOn w:val="12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071">
    <w:name w:val="Bordered &amp; Lined - Accent 6"/>
    <w:basedOn w:val="12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072">
    <w:name w:val="Bordered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073">
    <w:name w:val="Bordered - Accent 1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074">
    <w:name w:val="Bordered - Accent 2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075">
    <w:name w:val="Bordered - Accent 3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076">
    <w:name w:val="Bordered - Accent 4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077">
    <w:name w:val="Bordered - Accent 5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078">
    <w:name w:val="Bordered - Accent 6"/>
    <w:basedOn w:val="12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079">
    <w:name w:val="footnote text"/>
    <w:basedOn w:val="1086"/>
    <w:link w:val="1080"/>
    <w:uiPriority w:val="99"/>
    <w:semiHidden/>
    <w:unhideWhenUsed/>
    <w:pPr>
      <w:spacing w:after="40" w:line="240" w:lineRule="auto"/>
    </w:pPr>
    <w:rPr>
      <w:sz w:val="18"/>
    </w:rPr>
  </w:style>
  <w:style w:type="character" w:styleId="1080">
    <w:name w:val="Footnote Text Char"/>
    <w:link w:val="1079"/>
    <w:uiPriority w:val="99"/>
    <w:rPr>
      <w:sz w:val="18"/>
    </w:rPr>
  </w:style>
  <w:style w:type="paragraph" w:styleId="1081">
    <w:name w:val="endnote text"/>
    <w:basedOn w:val="1086"/>
    <w:link w:val="1082"/>
    <w:uiPriority w:val="99"/>
    <w:semiHidden/>
    <w:unhideWhenUsed/>
    <w:pPr>
      <w:spacing w:after="0" w:line="240" w:lineRule="auto"/>
    </w:pPr>
    <w:rPr>
      <w:sz w:val="20"/>
    </w:rPr>
  </w:style>
  <w:style w:type="character" w:styleId="1082">
    <w:name w:val="Endnote Text Char"/>
    <w:link w:val="1081"/>
    <w:uiPriority w:val="99"/>
    <w:rPr>
      <w:sz w:val="20"/>
    </w:rPr>
  </w:style>
  <w:style w:type="paragraph" w:styleId="1083">
    <w:name w:val="TOC Heading"/>
    <w:uiPriority w:val="39"/>
    <w:unhideWhenUsed/>
  </w:style>
  <w:style w:type="paragraph" w:styleId="1084">
    <w:name w:val="table of figures"/>
    <w:basedOn w:val="1086"/>
    <w:next w:val="1086"/>
    <w:uiPriority w:val="99"/>
    <w:unhideWhenUsed/>
    <w:pPr>
      <w:spacing w:after="0" w:afterAutospacing="0"/>
    </w:pPr>
  </w:style>
  <w:style w:type="paragraph" w:styleId="1085" w:default="1">
    <w:name w:val="Normal"/>
    <w:link w:val="1086"/>
    <w:uiPriority w:val="0"/>
    <w:qFormat/>
  </w:style>
  <w:style w:type="character" w:styleId="1086" w:default="1">
    <w:name w:val="Normal"/>
    <w:link w:val="1085"/>
  </w:style>
  <w:style w:type="paragraph" w:styleId="1087">
    <w:name w:val="Font Style11"/>
    <w:link w:val="1088"/>
    <w:rPr>
      <w:rFonts w:ascii="Times New Roman" w:hAnsi="Times New Roman"/>
      <w:b/>
      <w:sz w:val="20"/>
    </w:rPr>
  </w:style>
  <w:style w:type="character" w:styleId="1088">
    <w:name w:val="Font Style11"/>
    <w:link w:val="1087"/>
    <w:rPr>
      <w:rFonts w:ascii="Times New Roman" w:hAnsi="Times New Roman"/>
      <w:b/>
      <w:sz w:val="20"/>
    </w:rPr>
  </w:style>
  <w:style w:type="paragraph" w:styleId="1089">
    <w:name w:val="toc 2"/>
    <w:next w:val="1085"/>
    <w:link w:val="1090"/>
    <w:uiPriority w:val="39"/>
    <w:pPr>
      <w:ind w:left="200" w:firstLine="0"/>
      <w:jc w:val="left"/>
    </w:pPr>
    <w:rPr>
      <w:rFonts w:ascii="XO Thames" w:hAnsi="XO Thames"/>
      <w:sz w:val="28"/>
    </w:rPr>
  </w:style>
  <w:style w:type="character" w:styleId="1090">
    <w:name w:val="toc 2"/>
    <w:link w:val="1089"/>
    <w:rPr>
      <w:rFonts w:ascii="XO Thames" w:hAnsi="XO Thames"/>
      <w:sz w:val="28"/>
    </w:rPr>
  </w:style>
  <w:style w:type="paragraph" w:styleId="1091">
    <w:name w:val="Знак Знак1 Знак Знак Знак Знак Знак Знак Знак Знак"/>
    <w:basedOn w:val="1085"/>
    <w:link w:val="1092"/>
    <w:pPr>
      <w:spacing w:line="240" w:lineRule="exact"/>
    </w:pPr>
    <w:rPr>
      <w:rFonts w:ascii="Times New Roman" w:hAnsi="Times New Roman"/>
      <w:sz w:val="24"/>
    </w:rPr>
  </w:style>
  <w:style w:type="character" w:styleId="1092">
    <w:name w:val="Знак Знак1 Знак Знак Знак Знак Знак Знак Знак Знак"/>
    <w:basedOn w:val="1086"/>
    <w:link w:val="1091"/>
    <w:rPr>
      <w:rFonts w:ascii="Times New Roman" w:hAnsi="Times New Roman"/>
      <w:sz w:val="24"/>
    </w:rPr>
  </w:style>
  <w:style w:type="paragraph" w:styleId="1093">
    <w:name w:val="toc 4"/>
    <w:next w:val="1085"/>
    <w:link w:val="1094"/>
    <w:uiPriority w:val="39"/>
    <w:pPr>
      <w:ind w:left="600" w:firstLine="0"/>
      <w:jc w:val="left"/>
    </w:pPr>
    <w:rPr>
      <w:rFonts w:ascii="XO Thames" w:hAnsi="XO Thames"/>
      <w:sz w:val="28"/>
    </w:rPr>
  </w:style>
  <w:style w:type="character" w:styleId="1094">
    <w:name w:val="toc 4"/>
    <w:link w:val="1093"/>
    <w:rPr>
      <w:rFonts w:ascii="XO Thames" w:hAnsi="XO Thames"/>
      <w:sz w:val="28"/>
    </w:rPr>
  </w:style>
  <w:style w:type="paragraph" w:styleId="1095">
    <w:name w:val="toc 6"/>
    <w:next w:val="1085"/>
    <w:link w:val="1096"/>
    <w:uiPriority w:val="39"/>
    <w:pPr>
      <w:ind w:left="1000" w:firstLine="0"/>
      <w:jc w:val="left"/>
    </w:pPr>
    <w:rPr>
      <w:rFonts w:ascii="XO Thames" w:hAnsi="XO Thames"/>
      <w:sz w:val="28"/>
    </w:rPr>
  </w:style>
  <w:style w:type="character" w:styleId="1096">
    <w:name w:val="toc 6"/>
    <w:link w:val="1095"/>
    <w:rPr>
      <w:rFonts w:ascii="XO Thames" w:hAnsi="XO Thames"/>
      <w:sz w:val="28"/>
    </w:rPr>
  </w:style>
  <w:style w:type="paragraph" w:styleId="1097">
    <w:name w:val="toc 7"/>
    <w:next w:val="1085"/>
    <w:link w:val="1098"/>
    <w:uiPriority w:val="39"/>
    <w:pPr>
      <w:ind w:left="1200" w:firstLine="0"/>
      <w:jc w:val="left"/>
    </w:pPr>
    <w:rPr>
      <w:rFonts w:ascii="XO Thames" w:hAnsi="XO Thames"/>
      <w:sz w:val="28"/>
    </w:rPr>
  </w:style>
  <w:style w:type="character" w:styleId="1098">
    <w:name w:val="toc 7"/>
    <w:link w:val="1097"/>
    <w:rPr>
      <w:rFonts w:ascii="XO Thames" w:hAnsi="XO Thames"/>
      <w:sz w:val="28"/>
    </w:rPr>
  </w:style>
  <w:style w:type="paragraph" w:styleId="1099">
    <w:name w:val="Знак Знак1 Знак Знак Знак Знак Знак Знак Знак Знак"/>
    <w:basedOn w:val="1085"/>
    <w:link w:val="1100"/>
    <w:pPr>
      <w:spacing w:line="240" w:lineRule="exact"/>
    </w:pPr>
    <w:rPr>
      <w:rFonts w:ascii="Times New Roman" w:hAnsi="Times New Roman"/>
      <w:sz w:val="24"/>
    </w:rPr>
  </w:style>
  <w:style w:type="character" w:styleId="1100">
    <w:name w:val="Знак Знак1 Знак Знак Знак Знак Знак Знак Знак Знак"/>
    <w:basedOn w:val="1086"/>
    <w:link w:val="1099"/>
    <w:rPr>
      <w:rFonts w:ascii="Times New Roman" w:hAnsi="Times New Roman"/>
      <w:sz w:val="24"/>
    </w:rPr>
  </w:style>
  <w:style w:type="paragraph" w:styleId="1101">
    <w:name w:val="footnote reference"/>
    <w:basedOn w:val="1171"/>
    <w:link w:val="1102"/>
    <w:rPr>
      <w:vertAlign w:val="superscript"/>
    </w:rPr>
  </w:style>
  <w:style w:type="character" w:styleId="1102">
    <w:name w:val="footnote reference"/>
    <w:basedOn w:val="1172"/>
    <w:link w:val="1101"/>
    <w:rPr>
      <w:vertAlign w:val="superscript"/>
    </w:rPr>
  </w:style>
  <w:style w:type="paragraph" w:styleId="1103">
    <w:name w:val="Style5"/>
    <w:basedOn w:val="1085"/>
    <w:link w:val="1104"/>
    <w:pPr>
      <w:ind w:left="0" w:firstLine="168"/>
      <w:jc w:val="both"/>
      <w:spacing w:after="0" w:line="290" w:lineRule="exact"/>
      <w:widowControl w:val="off"/>
    </w:pPr>
    <w:rPr>
      <w:rFonts w:ascii="Calibri" w:hAnsi="Calibri"/>
      <w:sz w:val="24"/>
    </w:rPr>
  </w:style>
  <w:style w:type="character" w:styleId="1104">
    <w:name w:val="Style5"/>
    <w:basedOn w:val="1086"/>
    <w:link w:val="1103"/>
    <w:rPr>
      <w:rFonts w:ascii="Calibri" w:hAnsi="Calibri"/>
      <w:sz w:val="24"/>
    </w:rPr>
  </w:style>
  <w:style w:type="paragraph" w:styleId="1105">
    <w:name w:val="Знак Знак1 Знак Знак Знак Знак Знак Знак Знак Знак"/>
    <w:basedOn w:val="1085"/>
    <w:link w:val="1106"/>
    <w:pPr>
      <w:spacing w:line="240" w:lineRule="exact"/>
    </w:pPr>
    <w:rPr>
      <w:rFonts w:ascii="Times New Roman" w:hAnsi="Times New Roman"/>
      <w:sz w:val="24"/>
    </w:rPr>
  </w:style>
  <w:style w:type="character" w:styleId="1106">
    <w:name w:val="Знак Знак1 Знак Знак Знак Знак Знак Знак Знак Знак"/>
    <w:basedOn w:val="1086"/>
    <w:link w:val="1105"/>
    <w:rPr>
      <w:rFonts w:ascii="Times New Roman" w:hAnsi="Times New Roman"/>
      <w:sz w:val="24"/>
    </w:rPr>
  </w:style>
  <w:style w:type="paragraph" w:styleId="1107">
    <w:name w:val="Endnote"/>
    <w:basedOn w:val="1085"/>
    <w:link w:val="1108"/>
    <w:pPr>
      <w:spacing w:after="0" w:line="240" w:lineRule="auto"/>
    </w:pPr>
    <w:rPr>
      <w:sz w:val="20"/>
    </w:rPr>
  </w:style>
  <w:style w:type="character" w:styleId="1108">
    <w:name w:val="Endnote"/>
    <w:basedOn w:val="1086"/>
    <w:link w:val="1107"/>
    <w:rPr>
      <w:sz w:val="20"/>
    </w:rPr>
  </w:style>
  <w:style w:type="paragraph" w:styleId="1109">
    <w:name w:val="Heading 3"/>
    <w:next w:val="1085"/>
    <w:link w:val="1110"/>
    <w:uiPriority w:val="9"/>
    <w:qFormat/>
    <w:pPr>
      <w:jc w:val="both"/>
      <w:spacing w:before="120" w:after="120"/>
      <w:outlineLvl w:val="2"/>
    </w:pPr>
    <w:rPr>
      <w:rFonts w:ascii="XO Thames" w:hAnsi="XO Thames"/>
      <w:b/>
      <w:sz w:val="26"/>
    </w:rPr>
  </w:style>
  <w:style w:type="character" w:styleId="1110">
    <w:name w:val="Heading 3"/>
    <w:link w:val="1109"/>
    <w:rPr>
      <w:rFonts w:ascii="XO Thames" w:hAnsi="XO Thames"/>
      <w:b/>
      <w:sz w:val="26"/>
    </w:rPr>
  </w:style>
  <w:style w:type="paragraph" w:styleId="1111">
    <w:name w:val="Body Text Indent 3"/>
    <w:basedOn w:val="1085"/>
    <w:link w:val="1112"/>
    <w:pPr>
      <w:ind w:left="283" w:firstLine="0"/>
      <w:spacing w:after="120"/>
    </w:pPr>
    <w:rPr>
      <w:sz w:val="16"/>
    </w:rPr>
  </w:style>
  <w:style w:type="character" w:styleId="1112">
    <w:name w:val="Body Text Indent 3"/>
    <w:basedOn w:val="1086"/>
    <w:link w:val="1111"/>
    <w:rPr>
      <w:sz w:val="16"/>
    </w:rPr>
  </w:style>
  <w:style w:type="paragraph" w:styleId="1113">
    <w:name w:val="Знак Знак1 Знак Знак Знак Знак Знак Знак Знак Знак"/>
    <w:basedOn w:val="1085"/>
    <w:link w:val="1114"/>
    <w:pPr>
      <w:spacing w:line="240" w:lineRule="exact"/>
    </w:pPr>
    <w:rPr>
      <w:rFonts w:ascii="Times New Roman" w:hAnsi="Times New Roman"/>
      <w:sz w:val="24"/>
    </w:rPr>
  </w:style>
  <w:style w:type="character" w:styleId="1114">
    <w:name w:val="Знак Знак1 Знак Знак Знак Знак Знак Знак Знак Знак"/>
    <w:basedOn w:val="1086"/>
    <w:link w:val="1113"/>
    <w:rPr>
      <w:rFonts w:ascii="Times New Roman" w:hAnsi="Times New Roman"/>
      <w:sz w:val="24"/>
    </w:rPr>
  </w:style>
  <w:style w:type="paragraph" w:styleId="1115">
    <w:name w:val="Normal (Web)"/>
    <w:basedOn w:val="1085"/>
    <w:link w:val="1116"/>
    <w:pPr>
      <w:spacing w:after="0" w:line="240" w:lineRule="auto"/>
    </w:pPr>
    <w:rPr>
      <w:rFonts w:ascii="Times New Roman" w:hAnsi="Times New Roman"/>
      <w:sz w:val="24"/>
    </w:rPr>
  </w:style>
  <w:style w:type="character" w:styleId="1116">
    <w:name w:val="Normal (Web)"/>
    <w:basedOn w:val="1086"/>
    <w:link w:val="1115"/>
    <w:rPr>
      <w:rFonts w:ascii="Times New Roman" w:hAnsi="Times New Roman"/>
      <w:sz w:val="24"/>
    </w:rPr>
  </w:style>
  <w:style w:type="paragraph" w:styleId="1117">
    <w:name w:val="Знак Знак1 Знак Знак Знак Знак Знак Знак Знак Знак"/>
    <w:basedOn w:val="1085"/>
    <w:link w:val="1118"/>
    <w:pPr>
      <w:spacing w:line="240" w:lineRule="exact"/>
    </w:pPr>
    <w:rPr>
      <w:rFonts w:ascii="Times New Roman" w:hAnsi="Times New Roman"/>
      <w:sz w:val="24"/>
    </w:rPr>
  </w:style>
  <w:style w:type="character" w:styleId="1118">
    <w:name w:val="Знак Знак1 Знак Знак Знак Знак Знак Знак Знак Знак"/>
    <w:basedOn w:val="1086"/>
    <w:link w:val="1117"/>
    <w:rPr>
      <w:rFonts w:ascii="Times New Roman" w:hAnsi="Times New Roman"/>
      <w:sz w:val="24"/>
    </w:rPr>
  </w:style>
  <w:style w:type="paragraph" w:styleId="1119">
    <w:name w:val="Знак Знак1 Знак Знак Знак Знак Знак Знак Знак Знак"/>
    <w:basedOn w:val="1085"/>
    <w:link w:val="1120"/>
    <w:pPr>
      <w:spacing w:line="240" w:lineRule="exact"/>
    </w:pPr>
    <w:rPr>
      <w:rFonts w:ascii="Times New Roman" w:hAnsi="Times New Roman"/>
      <w:sz w:val="24"/>
    </w:rPr>
  </w:style>
  <w:style w:type="character" w:styleId="1120">
    <w:name w:val="Знак Знак1 Знак Знак Знак Знак Знак Знак Знак Знак"/>
    <w:basedOn w:val="1086"/>
    <w:link w:val="1119"/>
    <w:rPr>
      <w:rFonts w:ascii="Times New Roman" w:hAnsi="Times New Roman"/>
      <w:sz w:val="24"/>
    </w:rPr>
  </w:style>
  <w:style w:type="paragraph" w:styleId="1121">
    <w:name w:val="No Spacing"/>
    <w:link w:val="1122"/>
    <w:pPr>
      <w:spacing w:after="0" w:line="240" w:lineRule="auto"/>
    </w:pPr>
    <w:rPr>
      <w:rFonts w:ascii="Calibri" w:hAnsi="Calibri"/>
    </w:rPr>
  </w:style>
  <w:style w:type="character" w:styleId="1122">
    <w:name w:val="No Spacing"/>
    <w:link w:val="1121"/>
    <w:rPr>
      <w:rFonts w:ascii="Calibri" w:hAnsi="Calibri"/>
    </w:rPr>
  </w:style>
  <w:style w:type="paragraph" w:styleId="1123">
    <w:name w:val="Знак Знак1 Знак Знак Знак Знак Знак Знак Знак Знак"/>
    <w:basedOn w:val="1085"/>
    <w:link w:val="1124"/>
    <w:pPr>
      <w:spacing w:line="240" w:lineRule="exact"/>
    </w:pPr>
    <w:rPr>
      <w:rFonts w:ascii="Times New Roman" w:hAnsi="Times New Roman"/>
      <w:sz w:val="24"/>
    </w:rPr>
  </w:style>
  <w:style w:type="character" w:styleId="1124">
    <w:name w:val="Знак Знак1 Знак Знак Знак Знак Знак Знак Знак Знак"/>
    <w:basedOn w:val="1086"/>
    <w:link w:val="1123"/>
    <w:rPr>
      <w:rFonts w:ascii="Times New Roman" w:hAnsi="Times New Roman"/>
      <w:sz w:val="24"/>
    </w:rPr>
  </w:style>
  <w:style w:type="paragraph" w:styleId="1125">
    <w:name w:val="Знак Знак1 Знак Знак Знак Знак Знак Знак Знак Знак"/>
    <w:basedOn w:val="1085"/>
    <w:link w:val="1126"/>
    <w:pPr>
      <w:spacing w:line="240" w:lineRule="exact"/>
    </w:pPr>
    <w:rPr>
      <w:rFonts w:ascii="Times New Roman" w:hAnsi="Times New Roman"/>
      <w:sz w:val="24"/>
    </w:rPr>
  </w:style>
  <w:style w:type="character" w:styleId="1126">
    <w:name w:val="Знак Знак1 Знак Знак Знак Знак Знак Знак Знак Знак"/>
    <w:basedOn w:val="1086"/>
    <w:link w:val="1125"/>
    <w:rPr>
      <w:rFonts w:ascii="Times New Roman" w:hAnsi="Times New Roman"/>
      <w:sz w:val="24"/>
    </w:rPr>
  </w:style>
  <w:style w:type="paragraph" w:styleId="1127">
    <w:name w:val="Header"/>
    <w:basedOn w:val="1085"/>
    <w:link w:val="1128"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1128">
    <w:name w:val="Header"/>
    <w:basedOn w:val="1086"/>
    <w:link w:val="1127"/>
  </w:style>
  <w:style w:type="paragraph" w:styleId="1129">
    <w:name w:val="Знак Знак1 Знак Знак Знак Знак Знак Знак Знак Знак"/>
    <w:basedOn w:val="1085"/>
    <w:link w:val="1130"/>
    <w:pPr>
      <w:spacing w:line="240" w:lineRule="exact"/>
    </w:pPr>
    <w:rPr>
      <w:rFonts w:ascii="Times New Roman" w:hAnsi="Times New Roman"/>
      <w:sz w:val="24"/>
    </w:rPr>
  </w:style>
  <w:style w:type="character" w:styleId="1130">
    <w:name w:val="Знак Знак1 Знак Знак Знак Знак Знак Знак Знак Знак"/>
    <w:basedOn w:val="1086"/>
    <w:link w:val="1129"/>
    <w:rPr>
      <w:rFonts w:ascii="Times New Roman" w:hAnsi="Times New Roman"/>
      <w:sz w:val="24"/>
    </w:rPr>
  </w:style>
  <w:style w:type="paragraph" w:styleId="1131">
    <w:name w:val="Знак Знак1 Знак Знак Знак Знак Знак Знак Знак Знак"/>
    <w:basedOn w:val="1085"/>
    <w:link w:val="1132"/>
    <w:pPr>
      <w:spacing w:line="240" w:lineRule="exact"/>
    </w:pPr>
    <w:rPr>
      <w:rFonts w:ascii="Times New Roman" w:hAnsi="Times New Roman"/>
      <w:sz w:val="24"/>
    </w:rPr>
  </w:style>
  <w:style w:type="character" w:styleId="1132">
    <w:name w:val="Знак Знак1 Знак Знак Знак Знак Знак Знак Знак Знак"/>
    <w:basedOn w:val="1086"/>
    <w:link w:val="1131"/>
    <w:rPr>
      <w:rFonts w:ascii="Times New Roman" w:hAnsi="Times New Roman"/>
      <w:sz w:val="24"/>
    </w:rPr>
  </w:style>
  <w:style w:type="paragraph" w:styleId="1133">
    <w:name w:val="Знак Знак1 Знак Знак Знак Знак Знак Знак Знак Знак"/>
    <w:basedOn w:val="1085"/>
    <w:link w:val="1134"/>
    <w:pPr>
      <w:spacing w:line="240" w:lineRule="exact"/>
    </w:pPr>
    <w:rPr>
      <w:rFonts w:ascii="Times New Roman" w:hAnsi="Times New Roman"/>
      <w:sz w:val="24"/>
    </w:rPr>
  </w:style>
  <w:style w:type="character" w:styleId="1134">
    <w:name w:val="Знак Знак1 Знак Знак Знак Знак Знак Знак Знак Знак"/>
    <w:basedOn w:val="1086"/>
    <w:link w:val="1133"/>
    <w:rPr>
      <w:rFonts w:ascii="Times New Roman" w:hAnsi="Times New Roman"/>
      <w:sz w:val="24"/>
    </w:rPr>
  </w:style>
  <w:style w:type="paragraph" w:styleId="1135">
    <w:name w:val="ConsPlusNormal"/>
    <w:link w:val="1136"/>
    <w:pPr>
      <w:spacing w:after="0" w:line="240" w:lineRule="auto"/>
    </w:pPr>
    <w:rPr>
      <w:rFonts w:ascii="Arial" w:hAnsi="Arial"/>
      <w:sz w:val="20"/>
    </w:rPr>
  </w:style>
  <w:style w:type="character" w:styleId="1136">
    <w:name w:val="ConsPlusNormal"/>
    <w:link w:val="1135"/>
    <w:rPr>
      <w:rFonts w:ascii="Arial" w:hAnsi="Arial"/>
      <w:sz w:val="20"/>
    </w:rPr>
  </w:style>
  <w:style w:type="paragraph" w:styleId="1137">
    <w:name w:val="Знак Знак1 Знак Знак Знак Знак Знак Знак Знак Знак"/>
    <w:basedOn w:val="1085"/>
    <w:link w:val="1138"/>
    <w:pPr>
      <w:spacing w:line="240" w:lineRule="exact"/>
    </w:pPr>
    <w:rPr>
      <w:rFonts w:ascii="Times New Roman" w:hAnsi="Times New Roman"/>
      <w:sz w:val="24"/>
    </w:rPr>
  </w:style>
  <w:style w:type="character" w:styleId="1138">
    <w:name w:val="Знак Знак1 Знак Знак Знак Знак Знак Знак Знак Знак"/>
    <w:basedOn w:val="1086"/>
    <w:link w:val="1137"/>
    <w:rPr>
      <w:rFonts w:ascii="Times New Roman" w:hAnsi="Times New Roman"/>
      <w:sz w:val="24"/>
    </w:rPr>
  </w:style>
  <w:style w:type="paragraph" w:styleId="1139">
    <w:name w:val="Основной текст + Интервал 0 pt"/>
    <w:basedOn w:val="1199"/>
    <w:link w:val="1140"/>
    <w:rPr>
      <w:rFonts w:ascii="Times New Roman" w:hAnsi="Times New Roman"/>
      <w:color w:val="000000"/>
      <w:spacing w:val="4"/>
      <w:sz w:val="25"/>
      <w:highlight w:val="white"/>
    </w:rPr>
  </w:style>
  <w:style w:type="character" w:styleId="1140">
    <w:name w:val="Основной текст + Интервал 0 pt"/>
    <w:basedOn w:val="1200"/>
    <w:link w:val="1139"/>
    <w:rPr>
      <w:rFonts w:ascii="Times New Roman" w:hAnsi="Times New Roman"/>
      <w:color w:val="000000"/>
      <w:spacing w:val="4"/>
      <w:sz w:val="25"/>
      <w:highlight w:val="white"/>
    </w:rPr>
  </w:style>
  <w:style w:type="paragraph" w:styleId="1141">
    <w:name w:val="toc 3"/>
    <w:next w:val="1085"/>
    <w:link w:val="1142"/>
    <w:uiPriority w:val="39"/>
    <w:pPr>
      <w:ind w:left="400" w:firstLine="0"/>
      <w:jc w:val="left"/>
    </w:pPr>
    <w:rPr>
      <w:rFonts w:ascii="XO Thames" w:hAnsi="XO Thames"/>
      <w:sz w:val="28"/>
    </w:rPr>
  </w:style>
  <w:style w:type="character" w:styleId="1142">
    <w:name w:val="toc 3"/>
    <w:link w:val="1141"/>
    <w:rPr>
      <w:rFonts w:ascii="XO Thames" w:hAnsi="XO Thames"/>
      <w:sz w:val="28"/>
    </w:rPr>
  </w:style>
  <w:style w:type="paragraph" w:styleId="1143">
    <w:name w:val="Знак Знак1 Знак Знак Знак Знак Знак Знак Знак Знак"/>
    <w:basedOn w:val="1085"/>
    <w:link w:val="1144"/>
    <w:pPr>
      <w:spacing w:line="240" w:lineRule="exact"/>
    </w:pPr>
    <w:rPr>
      <w:rFonts w:ascii="Times New Roman" w:hAnsi="Times New Roman"/>
      <w:sz w:val="24"/>
    </w:rPr>
  </w:style>
  <w:style w:type="character" w:styleId="1144">
    <w:name w:val="Знак Знак1 Знак Знак Знак Знак Знак Знак Знак Знак"/>
    <w:basedOn w:val="1086"/>
    <w:link w:val="1143"/>
    <w:rPr>
      <w:rFonts w:ascii="Times New Roman" w:hAnsi="Times New Roman"/>
      <w:sz w:val="24"/>
    </w:rPr>
  </w:style>
  <w:style w:type="paragraph" w:styleId="1145">
    <w:name w:val="Знак Знак1 Знак Знак Знак Знак Знак Знак Знак Знак"/>
    <w:basedOn w:val="1085"/>
    <w:link w:val="1146"/>
    <w:pPr>
      <w:spacing w:line="240" w:lineRule="exact"/>
    </w:pPr>
    <w:rPr>
      <w:rFonts w:ascii="Times New Roman" w:hAnsi="Times New Roman"/>
      <w:sz w:val="24"/>
    </w:rPr>
  </w:style>
  <w:style w:type="character" w:styleId="1146">
    <w:name w:val="Знак Знак1 Знак Знак Знак Знак Знак Знак Знак Знак"/>
    <w:basedOn w:val="1086"/>
    <w:link w:val="1145"/>
    <w:rPr>
      <w:rFonts w:ascii="Times New Roman" w:hAnsi="Times New Roman"/>
      <w:sz w:val="24"/>
    </w:rPr>
  </w:style>
  <w:style w:type="paragraph" w:styleId="1147">
    <w:name w:val="Знак Знак1 Знак Знак Знак Знак Знак Знак Знак Знак"/>
    <w:basedOn w:val="1085"/>
    <w:link w:val="1148"/>
    <w:pPr>
      <w:spacing w:line="240" w:lineRule="exact"/>
    </w:pPr>
    <w:rPr>
      <w:rFonts w:ascii="Times New Roman" w:hAnsi="Times New Roman"/>
      <w:sz w:val="24"/>
    </w:rPr>
  </w:style>
  <w:style w:type="character" w:styleId="1148">
    <w:name w:val="Знак Знак1 Знак Знак Знак Знак Знак Знак Знак Знак"/>
    <w:basedOn w:val="1086"/>
    <w:link w:val="1147"/>
    <w:rPr>
      <w:rFonts w:ascii="Times New Roman" w:hAnsi="Times New Roman"/>
      <w:sz w:val="24"/>
    </w:rPr>
  </w:style>
  <w:style w:type="paragraph" w:styleId="1149">
    <w:name w:val="extended-text__full"/>
    <w:basedOn w:val="1171"/>
    <w:link w:val="1150"/>
  </w:style>
  <w:style w:type="character" w:styleId="1150">
    <w:name w:val="extended-text__full"/>
    <w:basedOn w:val="1172"/>
    <w:link w:val="1149"/>
  </w:style>
  <w:style w:type="paragraph" w:styleId="1151">
    <w:name w:val="Heading 5"/>
    <w:next w:val="1085"/>
    <w:link w:val="1152"/>
    <w:uiPriority w:val="9"/>
    <w:qFormat/>
    <w:pPr>
      <w:jc w:val="both"/>
      <w:spacing w:before="120" w:after="120"/>
      <w:outlineLvl w:val="4"/>
    </w:pPr>
    <w:rPr>
      <w:rFonts w:ascii="XO Thames" w:hAnsi="XO Thames"/>
      <w:b/>
      <w:sz w:val="22"/>
    </w:rPr>
  </w:style>
  <w:style w:type="character" w:styleId="1152">
    <w:name w:val="Heading 5"/>
    <w:link w:val="1151"/>
    <w:rPr>
      <w:rFonts w:ascii="XO Thames" w:hAnsi="XO Thames"/>
      <w:b/>
      <w:sz w:val="22"/>
    </w:rPr>
  </w:style>
  <w:style w:type="paragraph" w:styleId="1153">
    <w:name w:val="Style1"/>
    <w:basedOn w:val="1085"/>
    <w:link w:val="1154"/>
    <w:pPr>
      <w:ind w:left="0" w:firstLine="547"/>
      <w:jc w:val="both"/>
      <w:spacing w:after="0" w:line="274" w:lineRule="exact"/>
      <w:widowControl w:val="off"/>
    </w:pPr>
    <w:rPr>
      <w:rFonts w:ascii="Calibri" w:hAnsi="Calibri"/>
      <w:sz w:val="24"/>
    </w:rPr>
  </w:style>
  <w:style w:type="character" w:styleId="1154">
    <w:name w:val="Style1"/>
    <w:basedOn w:val="1086"/>
    <w:link w:val="1153"/>
    <w:rPr>
      <w:rFonts w:ascii="Calibri" w:hAnsi="Calibri"/>
      <w:sz w:val="24"/>
    </w:rPr>
  </w:style>
  <w:style w:type="paragraph" w:styleId="1155">
    <w:name w:val="Знак Знак1 Знак Знак Знак Знак Знак Знак Знак Знак"/>
    <w:basedOn w:val="1085"/>
    <w:link w:val="1156"/>
    <w:pPr>
      <w:spacing w:line="240" w:lineRule="exact"/>
    </w:pPr>
    <w:rPr>
      <w:rFonts w:ascii="Times New Roman" w:hAnsi="Times New Roman"/>
      <w:sz w:val="24"/>
    </w:rPr>
  </w:style>
  <w:style w:type="character" w:styleId="1156">
    <w:name w:val="Знак Знак1 Знак Знак Знак Знак Знак Знак Знак Знак"/>
    <w:basedOn w:val="1086"/>
    <w:link w:val="1155"/>
    <w:rPr>
      <w:rFonts w:ascii="Times New Roman" w:hAnsi="Times New Roman"/>
      <w:sz w:val="24"/>
    </w:rPr>
  </w:style>
  <w:style w:type="paragraph" w:styleId="1157">
    <w:name w:val="Heading 1"/>
    <w:basedOn w:val="1085"/>
    <w:next w:val="1085"/>
    <w:link w:val="1158"/>
    <w:uiPriority w:val="9"/>
    <w:qFormat/>
    <w:pPr>
      <w:keepLines/>
      <w:keepNext/>
      <w:spacing w:before="480" w:after="0"/>
      <w:outlineLvl w:val="0"/>
    </w:pPr>
    <w:rPr>
      <w:rFonts w:asciiTheme="majorAscii" w:hAnsiTheme="majorHAnsi"/>
      <w:b/>
      <w:color w:val="376092" w:themeColor="accent1" w:themeShade="BF"/>
      <w:sz w:val="28"/>
    </w:rPr>
  </w:style>
  <w:style w:type="character" w:styleId="1158">
    <w:name w:val="Heading 1"/>
    <w:basedOn w:val="1086"/>
    <w:link w:val="1157"/>
    <w:rPr>
      <w:rFonts w:asciiTheme="majorAscii" w:hAnsiTheme="majorHAnsi"/>
      <w:b/>
      <w:color w:val="376092" w:themeColor="accent1" w:themeShade="BF"/>
      <w:sz w:val="28"/>
    </w:rPr>
  </w:style>
  <w:style w:type="paragraph" w:styleId="1159">
    <w:name w:val="Знак Знак1 Знак Знак Знак Знак Знак Знак Знак Знак"/>
    <w:basedOn w:val="1085"/>
    <w:link w:val="1160"/>
    <w:pPr>
      <w:spacing w:line="240" w:lineRule="exact"/>
    </w:pPr>
    <w:rPr>
      <w:rFonts w:ascii="Times New Roman" w:hAnsi="Times New Roman"/>
      <w:sz w:val="24"/>
    </w:rPr>
  </w:style>
  <w:style w:type="character" w:styleId="1160">
    <w:name w:val="Знак Знак1 Знак Знак Знак Знак Знак Знак Знак Знак"/>
    <w:basedOn w:val="1086"/>
    <w:link w:val="1159"/>
    <w:rPr>
      <w:rFonts w:ascii="Times New Roman" w:hAnsi="Times New Roman"/>
      <w:sz w:val="24"/>
    </w:rPr>
  </w:style>
  <w:style w:type="paragraph" w:styleId="1161">
    <w:name w:val="Hyperlink"/>
    <w:basedOn w:val="1171"/>
    <w:link w:val="1162"/>
    <w:rPr>
      <w:color w:val="0000ff" w:themeColor="hyperlink"/>
      <w:u w:val="single"/>
    </w:rPr>
  </w:style>
  <w:style w:type="character" w:styleId="1162">
    <w:name w:val="Hyperlink"/>
    <w:basedOn w:val="1172"/>
    <w:link w:val="1161"/>
    <w:rPr>
      <w:color w:val="0000ff" w:themeColor="hyperlink"/>
      <w:u w:val="single"/>
    </w:rPr>
  </w:style>
  <w:style w:type="paragraph" w:styleId="1163">
    <w:name w:val="Footnote"/>
    <w:basedOn w:val="1085"/>
    <w:link w:val="1164"/>
    <w:pPr>
      <w:spacing w:after="0" w:line="240" w:lineRule="auto"/>
    </w:pPr>
    <w:rPr>
      <w:sz w:val="20"/>
    </w:rPr>
  </w:style>
  <w:style w:type="character" w:styleId="1164">
    <w:name w:val="Footnote"/>
    <w:basedOn w:val="1086"/>
    <w:link w:val="1163"/>
    <w:rPr>
      <w:sz w:val="20"/>
    </w:rPr>
  </w:style>
  <w:style w:type="paragraph" w:styleId="1165">
    <w:name w:val="Знак Знак1 Знак Знак Знак Знак Знак Знак Знак Знак"/>
    <w:basedOn w:val="1085"/>
    <w:link w:val="1166"/>
    <w:pPr>
      <w:spacing w:line="240" w:lineRule="exact"/>
    </w:pPr>
    <w:rPr>
      <w:rFonts w:ascii="Times New Roman" w:hAnsi="Times New Roman"/>
      <w:sz w:val="24"/>
    </w:rPr>
  </w:style>
  <w:style w:type="character" w:styleId="1166">
    <w:name w:val="Знак Знак1 Знак Знак Знак Знак Знак Знак Знак Знак"/>
    <w:basedOn w:val="1086"/>
    <w:link w:val="1165"/>
    <w:rPr>
      <w:rFonts w:ascii="Times New Roman" w:hAnsi="Times New Roman"/>
      <w:sz w:val="24"/>
    </w:rPr>
  </w:style>
  <w:style w:type="paragraph" w:styleId="1167">
    <w:name w:val="Знак Знак1 Знак Знак Знак Знак Знак Знак Знак Знак"/>
    <w:basedOn w:val="1085"/>
    <w:link w:val="1168"/>
    <w:pPr>
      <w:spacing w:line="240" w:lineRule="exact"/>
    </w:pPr>
    <w:rPr>
      <w:rFonts w:ascii="Times New Roman" w:hAnsi="Times New Roman"/>
      <w:sz w:val="24"/>
    </w:rPr>
  </w:style>
  <w:style w:type="character" w:styleId="1168">
    <w:name w:val="Знак Знак1 Знак Знак Знак Знак Знак Знак Знак Знак"/>
    <w:basedOn w:val="1086"/>
    <w:link w:val="1167"/>
    <w:rPr>
      <w:rFonts w:ascii="Times New Roman" w:hAnsi="Times New Roman"/>
      <w:sz w:val="24"/>
    </w:rPr>
  </w:style>
  <w:style w:type="paragraph" w:styleId="1169">
    <w:name w:val="toc 1"/>
    <w:next w:val="1085"/>
    <w:link w:val="1170"/>
    <w:uiPriority w:val="39"/>
    <w:pPr>
      <w:ind w:left="0" w:firstLine="0"/>
      <w:jc w:val="left"/>
    </w:pPr>
    <w:rPr>
      <w:rFonts w:ascii="XO Thames" w:hAnsi="XO Thames"/>
      <w:b/>
      <w:sz w:val="28"/>
    </w:rPr>
  </w:style>
  <w:style w:type="character" w:styleId="1170">
    <w:name w:val="toc 1"/>
    <w:link w:val="1169"/>
    <w:rPr>
      <w:rFonts w:ascii="XO Thames" w:hAnsi="XO Thames"/>
      <w:b/>
      <w:sz w:val="28"/>
    </w:rPr>
  </w:style>
  <w:style w:type="paragraph" w:styleId="1171">
    <w:name w:val="Default Paragraph Font"/>
    <w:link w:val="1172"/>
  </w:style>
  <w:style w:type="character" w:styleId="1172">
    <w:name w:val="Default Paragraph Font"/>
    <w:link w:val="1171"/>
  </w:style>
  <w:style w:type="paragraph" w:styleId="1173">
    <w:name w:val="Знак Знак1 Знак Знак Знак Знак Знак Знак Знак Знак"/>
    <w:basedOn w:val="1085"/>
    <w:link w:val="1174"/>
    <w:pPr>
      <w:spacing w:line="240" w:lineRule="exact"/>
    </w:pPr>
    <w:rPr>
      <w:rFonts w:ascii="Times New Roman" w:hAnsi="Times New Roman"/>
      <w:sz w:val="24"/>
    </w:rPr>
  </w:style>
  <w:style w:type="character" w:styleId="1174">
    <w:name w:val="Знак Знак1 Знак Знак Знак Знак Знак Знак Знак Знак"/>
    <w:basedOn w:val="1086"/>
    <w:link w:val="1173"/>
    <w:rPr>
      <w:rFonts w:ascii="Times New Roman" w:hAnsi="Times New Roman"/>
      <w:sz w:val="24"/>
    </w:rPr>
  </w:style>
  <w:style w:type="paragraph" w:styleId="1175">
    <w:name w:val="Header and Footer"/>
    <w:link w:val="1176"/>
    <w:pPr>
      <w:jc w:val="both"/>
      <w:spacing w:line="240" w:lineRule="auto"/>
    </w:pPr>
    <w:rPr>
      <w:rFonts w:ascii="XO Thames" w:hAnsi="XO Thames"/>
      <w:sz w:val="28"/>
    </w:rPr>
  </w:style>
  <w:style w:type="character" w:styleId="1176">
    <w:name w:val="Header and Footer"/>
    <w:link w:val="1175"/>
    <w:rPr>
      <w:rFonts w:ascii="XO Thames" w:hAnsi="XO Thames"/>
      <w:sz w:val="28"/>
    </w:rPr>
  </w:style>
  <w:style w:type="paragraph" w:styleId="1177">
    <w:name w:val="Знак Знак1 Знак Знак Знак Знак Знак Знак Знак Знак"/>
    <w:basedOn w:val="1085"/>
    <w:link w:val="1178"/>
    <w:pPr>
      <w:spacing w:line="240" w:lineRule="exact"/>
    </w:pPr>
    <w:rPr>
      <w:rFonts w:ascii="Times New Roman" w:hAnsi="Times New Roman"/>
      <w:sz w:val="24"/>
    </w:rPr>
  </w:style>
  <w:style w:type="character" w:styleId="1178">
    <w:name w:val="Знак Знак1 Знак Знак Знак Знак Знак Знак Знак Знак"/>
    <w:basedOn w:val="1086"/>
    <w:link w:val="1177"/>
    <w:rPr>
      <w:rFonts w:ascii="Times New Roman" w:hAnsi="Times New Roman"/>
      <w:sz w:val="24"/>
    </w:rPr>
  </w:style>
  <w:style w:type="paragraph" w:styleId="1179">
    <w:name w:val="Знак Знак1 Знак Знак Знак Знак Знак Знак Знак Знак"/>
    <w:basedOn w:val="1085"/>
    <w:link w:val="1180"/>
    <w:pPr>
      <w:spacing w:line="240" w:lineRule="exact"/>
    </w:pPr>
    <w:rPr>
      <w:rFonts w:ascii="Times New Roman" w:hAnsi="Times New Roman"/>
      <w:sz w:val="24"/>
    </w:rPr>
  </w:style>
  <w:style w:type="character" w:styleId="1180">
    <w:name w:val="Знак Знак1 Знак Знак Знак Знак Знак Знак Знак Знак"/>
    <w:basedOn w:val="1086"/>
    <w:link w:val="1179"/>
    <w:rPr>
      <w:rFonts w:ascii="Times New Roman" w:hAnsi="Times New Roman"/>
      <w:sz w:val="24"/>
    </w:rPr>
  </w:style>
  <w:style w:type="paragraph" w:styleId="1181">
    <w:name w:val="Знак Знак1 Знак Знак Знак Знак Знак Знак Знак Знак"/>
    <w:basedOn w:val="1085"/>
    <w:link w:val="1182"/>
    <w:pPr>
      <w:spacing w:line="240" w:lineRule="exact"/>
    </w:pPr>
    <w:rPr>
      <w:rFonts w:ascii="Times New Roman" w:hAnsi="Times New Roman"/>
      <w:sz w:val="24"/>
    </w:rPr>
  </w:style>
  <w:style w:type="character" w:styleId="1182">
    <w:name w:val="Знак Знак1 Знак Знак Знак Знак Знак Знак Знак Знак"/>
    <w:basedOn w:val="1086"/>
    <w:link w:val="1181"/>
    <w:rPr>
      <w:rFonts w:ascii="Times New Roman" w:hAnsi="Times New Roman"/>
      <w:sz w:val="24"/>
    </w:rPr>
  </w:style>
  <w:style w:type="paragraph" w:styleId="1183">
    <w:name w:val="toc 9"/>
    <w:next w:val="1085"/>
    <w:link w:val="1184"/>
    <w:uiPriority w:val="39"/>
    <w:pPr>
      <w:ind w:left="1600" w:firstLine="0"/>
      <w:jc w:val="left"/>
    </w:pPr>
    <w:rPr>
      <w:rFonts w:ascii="XO Thames" w:hAnsi="XO Thames"/>
      <w:sz w:val="28"/>
    </w:rPr>
  </w:style>
  <w:style w:type="character" w:styleId="1184">
    <w:name w:val="toc 9"/>
    <w:link w:val="1183"/>
    <w:rPr>
      <w:rFonts w:ascii="XO Thames" w:hAnsi="XO Thames"/>
      <w:sz w:val="28"/>
    </w:rPr>
  </w:style>
  <w:style w:type="paragraph" w:styleId="1185">
    <w:name w:val="Body Text 2"/>
    <w:basedOn w:val="1085"/>
    <w:link w:val="1186"/>
    <w:pPr>
      <w:spacing w:after="120" w:line="480" w:lineRule="auto"/>
    </w:pPr>
  </w:style>
  <w:style w:type="character" w:styleId="1186">
    <w:name w:val="Body Text 2"/>
    <w:basedOn w:val="1086"/>
    <w:link w:val="1185"/>
  </w:style>
  <w:style w:type="paragraph" w:styleId="1187">
    <w:name w:val="toc 8"/>
    <w:next w:val="1085"/>
    <w:link w:val="1188"/>
    <w:uiPriority w:val="39"/>
    <w:pPr>
      <w:ind w:left="1400" w:firstLine="0"/>
      <w:jc w:val="left"/>
    </w:pPr>
    <w:rPr>
      <w:rFonts w:ascii="XO Thames" w:hAnsi="XO Thames"/>
      <w:sz w:val="28"/>
    </w:rPr>
  </w:style>
  <w:style w:type="character" w:styleId="1188">
    <w:name w:val="toc 8"/>
    <w:link w:val="1187"/>
    <w:rPr>
      <w:rFonts w:ascii="XO Thames" w:hAnsi="XO Thames"/>
      <w:sz w:val="28"/>
    </w:rPr>
  </w:style>
  <w:style w:type="paragraph" w:styleId="1189">
    <w:name w:val="Знак Знак1 Знак Знак Знак Знак Знак Знак Знак Знак"/>
    <w:basedOn w:val="1085"/>
    <w:link w:val="1190"/>
    <w:pPr>
      <w:spacing w:line="240" w:lineRule="exact"/>
    </w:pPr>
    <w:rPr>
      <w:rFonts w:ascii="Times New Roman" w:hAnsi="Times New Roman"/>
      <w:sz w:val="24"/>
    </w:rPr>
  </w:style>
  <w:style w:type="character" w:styleId="1190">
    <w:name w:val="Знак Знак1 Знак Знак Знак Знак Знак Знак Знак Знак"/>
    <w:basedOn w:val="1086"/>
    <w:link w:val="1189"/>
    <w:rPr>
      <w:rFonts w:ascii="Times New Roman" w:hAnsi="Times New Roman"/>
      <w:sz w:val="24"/>
    </w:rPr>
  </w:style>
  <w:style w:type="paragraph" w:styleId="1191">
    <w:name w:val="Знак Знак1 Знак Знак Знак Знак Знак Знак Знак Знак"/>
    <w:basedOn w:val="1085"/>
    <w:link w:val="1192"/>
    <w:pPr>
      <w:spacing w:line="240" w:lineRule="exact"/>
    </w:pPr>
    <w:rPr>
      <w:rFonts w:ascii="Times New Roman" w:hAnsi="Times New Roman"/>
      <w:sz w:val="24"/>
    </w:rPr>
  </w:style>
  <w:style w:type="character" w:styleId="1192">
    <w:name w:val="Знак Знак1 Знак Знак Знак Знак Знак Знак Знак Знак"/>
    <w:basedOn w:val="1086"/>
    <w:link w:val="1191"/>
    <w:rPr>
      <w:rFonts w:ascii="Times New Roman" w:hAnsi="Times New Roman"/>
      <w:sz w:val="24"/>
    </w:rPr>
  </w:style>
  <w:style w:type="paragraph" w:styleId="1193">
    <w:name w:val="List Paragraph"/>
    <w:basedOn w:val="1085"/>
    <w:link w:val="1194"/>
    <w:pPr>
      <w:contextualSpacing/>
      <w:ind w:left="720" w:firstLine="0"/>
    </w:pPr>
  </w:style>
  <w:style w:type="character" w:styleId="1194">
    <w:name w:val="List Paragraph"/>
    <w:basedOn w:val="1086"/>
    <w:link w:val="1193"/>
  </w:style>
  <w:style w:type="paragraph" w:styleId="1195">
    <w:name w:val="endnote reference"/>
    <w:basedOn w:val="1171"/>
    <w:link w:val="1196"/>
    <w:rPr>
      <w:vertAlign w:val="superscript"/>
    </w:rPr>
  </w:style>
  <w:style w:type="character" w:styleId="1196">
    <w:name w:val="endnote reference"/>
    <w:basedOn w:val="1172"/>
    <w:link w:val="1195"/>
    <w:rPr>
      <w:vertAlign w:val="superscript"/>
    </w:rPr>
  </w:style>
  <w:style w:type="paragraph" w:styleId="1197">
    <w:name w:val="toc 5"/>
    <w:next w:val="1085"/>
    <w:link w:val="1198"/>
    <w:uiPriority w:val="39"/>
    <w:pPr>
      <w:ind w:left="800" w:firstLine="0"/>
      <w:jc w:val="left"/>
    </w:pPr>
    <w:rPr>
      <w:rFonts w:ascii="XO Thames" w:hAnsi="XO Thames"/>
      <w:sz w:val="28"/>
    </w:rPr>
  </w:style>
  <w:style w:type="character" w:styleId="1198">
    <w:name w:val="toc 5"/>
    <w:link w:val="1197"/>
    <w:rPr>
      <w:rFonts w:ascii="XO Thames" w:hAnsi="XO Thames"/>
      <w:sz w:val="28"/>
    </w:rPr>
  </w:style>
  <w:style w:type="paragraph" w:styleId="1199">
    <w:name w:val="Основной текст1"/>
    <w:basedOn w:val="1085"/>
    <w:link w:val="1200"/>
    <w:pPr>
      <w:ind w:left="0" w:firstLine="700"/>
      <w:jc w:val="both"/>
      <w:spacing w:after="0" w:line="322" w:lineRule="exact"/>
      <w:widowControl w:val="off"/>
    </w:pPr>
    <w:rPr>
      <w:rFonts w:ascii="Times New Roman" w:hAnsi="Times New Roman"/>
      <w:spacing w:val="3"/>
      <w:sz w:val="25"/>
    </w:rPr>
  </w:style>
  <w:style w:type="character" w:styleId="1200">
    <w:name w:val="Основной текст1"/>
    <w:basedOn w:val="1086"/>
    <w:link w:val="1199"/>
    <w:rPr>
      <w:rFonts w:ascii="Times New Roman" w:hAnsi="Times New Roman"/>
      <w:spacing w:val="3"/>
      <w:sz w:val="25"/>
    </w:rPr>
  </w:style>
  <w:style w:type="paragraph" w:styleId="1201">
    <w:name w:val="Знак Знак1 Знак Знак Знак Знак Знак Знак Знак Знак"/>
    <w:basedOn w:val="1085"/>
    <w:link w:val="1202"/>
    <w:pPr>
      <w:spacing w:line="240" w:lineRule="exact"/>
    </w:pPr>
    <w:rPr>
      <w:rFonts w:ascii="Times New Roman" w:hAnsi="Times New Roman"/>
      <w:sz w:val="24"/>
    </w:rPr>
  </w:style>
  <w:style w:type="character" w:styleId="1202">
    <w:name w:val="Знак Знак1 Знак Знак Знак Знак Знак Знак Знак Знак"/>
    <w:basedOn w:val="1086"/>
    <w:link w:val="1201"/>
    <w:rPr>
      <w:rFonts w:ascii="Times New Roman" w:hAnsi="Times New Roman"/>
      <w:sz w:val="24"/>
    </w:rPr>
  </w:style>
  <w:style w:type="paragraph" w:styleId="1203">
    <w:name w:val="Balloon Text"/>
    <w:basedOn w:val="1085"/>
    <w:link w:val="1204"/>
    <w:pPr>
      <w:spacing w:after="0" w:line="240" w:lineRule="auto"/>
    </w:pPr>
    <w:rPr>
      <w:rFonts w:ascii="Segoe UI" w:hAnsi="Segoe UI"/>
      <w:sz w:val="18"/>
    </w:rPr>
  </w:style>
  <w:style w:type="character" w:styleId="1204">
    <w:name w:val="Balloon Text"/>
    <w:basedOn w:val="1086"/>
    <w:link w:val="1203"/>
    <w:rPr>
      <w:rFonts w:ascii="Segoe UI" w:hAnsi="Segoe UI"/>
      <w:sz w:val="18"/>
    </w:rPr>
  </w:style>
  <w:style w:type="paragraph" w:styleId="1205">
    <w:name w:val="Знак Знак1 Знак Знак Знак Знак Знак Знак Знак Знак"/>
    <w:basedOn w:val="1085"/>
    <w:link w:val="1206"/>
    <w:pPr>
      <w:spacing w:line="240" w:lineRule="exact"/>
    </w:pPr>
    <w:rPr>
      <w:rFonts w:ascii="Times New Roman" w:hAnsi="Times New Roman"/>
      <w:sz w:val="24"/>
    </w:rPr>
  </w:style>
  <w:style w:type="character" w:styleId="1206">
    <w:name w:val="Знак Знак1 Знак Знак Знак Знак Знак Знак Знак Знак"/>
    <w:basedOn w:val="1086"/>
    <w:link w:val="1205"/>
    <w:rPr>
      <w:rFonts w:ascii="Times New Roman" w:hAnsi="Times New Roman"/>
      <w:sz w:val="24"/>
    </w:rPr>
  </w:style>
  <w:style w:type="paragraph" w:styleId="1207">
    <w:name w:val="Subtitle"/>
    <w:next w:val="1085"/>
    <w:link w:val="1208"/>
    <w:uiPriority w:val="11"/>
    <w:qFormat/>
    <w:pPr>
      <w:jc w:val="both"/>
    </w:pPr>
    <w:rPr>
      <w:rFonts w:ascii="XO Thames" w:hAnsi="XO Thames"/>
      <w:i/>
      <w:sz w:val="24"/>
    </w:rPr>
  </w:style>
  <w:style w:type="character" w:styleId="1208">
    <w:name w:val="Subtitle"/>
    <w:link w:val="1207"/>
    <w:rPr>
      <w:rFonts w:ascii="XO Thames" w:hAnsi="XO Thames"/>
      <w:i/>
      <w:sz w:val="24"/>
    </w:rPr>
  </w:style>
  <w:style w:type="paragraph" w:styleId="1209">
    <w:name w:val="Footer"/>
    <w:basedOn w:val="1085"/>
    <w:link w:val="1210"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1210">
    <w:name w:val="Footer"/>
    <w:basedOn w:val="1086"/>
    <w:link w:val="1209"/>
  </w:style>
  <w:style w:type="paragraph" w:styleId="1211">
    <w:name w:val="Знак Знак1 Знак Знак Знак Знак Знак Знак Знак Знак"/>
    <w:basedOn w:val="1085"/>
    <w:link w:val="1212"/>
    <w:pPr>
      <w:spacing w:line="240" w:lineRule="exact"/>
    </w:pPr>
    <w:rPr>
      <w:rFonts w:ascii="Times New Roman" w:hAnsi="Times New Roman"/>
      <w:sz w:val="24"/>
    </w:rPr>
  </w:style>
  <w:style w:type="character" w:styleId="1212">
    <w:name w:val="Знак Знак1 Знак Знак Знак Знак Знак Знак Знак Знак"/>
    <w:basedOn w:val="1086"/>
    <w:link w:val="1211"/>
    <w:rPr>
      <w:rFonts w:ascii="Times New Roman" w:hAnsi="Times New Roman"/>
      <w:sz w:val="24"/>
    </w:rPr>
  </w:style>
  <w:style w:type="paragraph" w:styleId="1213">
    <w:name w:val="Знак Знак1 Знак Знак Знак Знак Знак Знак Знак Знак"/>
    <w:basedOn w:val="1085"/>
    <w:link w:val="1214"/>
    <w:pPr>
      <w:spacing w:line="240" w:lineRule="exact"/>
    </w:pPr>
    <w:rPr>
      <w:rFonts w:ascii="Times New Roman" w:hAnsi="Times New Roman"/>
      <w:sz w:val="24"/>
    </w:rPr>
  </w:style>
  <w:style w:type="character" w:styleId="1214">
    <w:name w:val="Знак Знак1 Знак Знак Знак Знак Знак Знак Знак Знак"/>
    <w:basedOn w:val="1086"/>
    <w:link w:val="1213"/>
    <w:rPr>
      <w:rFonts w:ascii="Times New Roman" w:hAnsi="Times New Roman"/>
      <w:sz w:val="24"/>
    </w:rPr>
  </w:style>
  <w:style w:type="paragraph" w:styleId="1215">
    <w:name w:val="Знак Знак1 Знак Знак Знак Знак Знак Знак Знак Знак"/>
    <w:basedOn w:val="1085"/>
    <w:link w:val="1216"/>
    <w:pPr>
      <w:spacing w:line="240" w:lineRule="exact"/>
    </w:pPr>
    <w:rPr>
      <w:rFonts w:ascii="Times New Roman" w:hAnsi="Times New Roman"/>
      <w:sz w:val="24"/>
    </w:rPr>
  </w:style>
  <w:style w:type="character" w:styleId="1216">
    <w:name w:val="Знак Знак1 Знак Знак Знак Знак Знак Знак Знак Знак"/>
    <w:basedOn w:val="1086"/>
    <w:link w:val="1215"/>
    <w:rPr>
      <w:rFonts w:ascii="Times New Roman" w:hAnsi="Times New Roman"/>
      <w:sz w:val="24"/>
    </w:rPr>
  </w:style>
  <w:style w:type="paragraph" w:styleId="1217">
    <w:name w:val="Знак Знак1 Знак Знак Знак Знак Знак Знак Знак Знак"/>
    <w:basedOn w:val="1085"/>
    <w:link w:val="1218"/>
    <w:pPr>
      <w:spacing w:line="240" w:lineRule="exact"/>
    </w:pPr>
    <w:rPr>
      <w:rFonts w:ascii="Times New Roman" w:hAnsi="Times New Roman"/>
      <w:sz w:val="24"/>
    </w:rPr>
  </w:style>
  <w:style w:type="character" w:styleId="1218">
    <w:name w:val="Знак Знак1 Знак Знак Знак Знак Знак Знак Знак Знак"/>
    <w:basedOn w:val="1086"/>
    <w:link w:val="1217"/>
    <w:rPr>
      <w:rFonts w:ascii="Times New Roman" w:hAnsi="Times New Roman"/>
      <w:sz w:val="24"/>
    </w:rPr>
  </w:style>
  <w:style w:type="paragraph" w:styleId="1219">
    <w:name w:val="Знак Знак1 Знак Знак Знак Знак Знак Знак Знак Знак"/>
    <w:basedOn w:val="1085"/>
    <w:link w:val="1220"/>
    <w:pPr>
      <w:spacing w:line="240" w:lineRule="exact"/>
    </w:pPr>
    <w:rPr>
      <w:rFonts w:ascii="Times New Roman" w:hAnsi="Times New Roman"/>
      <w:sz w:val="24"/>
    </w:rPr>
  </w:style>
  <w:style w:type="character" w:styleId="1220">
    <w:name w:val="Знак Знак1 Знак Знак Знак Знак Знак Знак Знак Знак"/>
    <w:basedOn w:val="1086"/>
    <w:link w:val="1219"/>
    <w:rPr>
      <w:rFonts w:ascii="Times New Roman" w:hAnsi="Times New Roman"/>
      <w:sz w:val="24"/>
    </w:rPr>
  </w:style>
  <w:style w:type="paragraph" w:styleId="1221">
    <w:name w:val="Title"/>
    <w:next w:val="1085"/>
    <w:link w:val="1222"/>
    <w:uiPriority w:val="10"/>
    <w:qFormat/>
    <w:pPr>
      <w:jc w:val="center"/>
      <w:spacing w:before="567" w:after="567"/>
    </w:pPr>
    <w:rPr>
      <w:rFonts w:ascii="XO Thames" w:hAnsi="XO Thames"/>
      <w:b/>
      <w:caps/>
      <w:sz w:val="40"/>
    </w:rPr>
  </w:style>
  <w:style w:type="character" w:styleId="1222">
    <w:name w:val="Title"/>
    <w:link w:val="1221"/>
    <w:rPr>
      <w:rFonts w:ascii="XO Thames" w:hAnsi="XO Thames"/>
      <w:b/>
      <w:caps/>
      <w:sz w:val="40"/>
    </w:rPr>
  </w:style>
  <w:style w:type="paragraph" w:styleId="1223">
    <w:name w:val="Heading 4"/>
    <w:next w:val="1085"/>
    <w:link w:val="1224"/>
    <w:uiPriority w:val="9"/>
    <w:qFormat/>
    <w:pPr>
      <w:jc w:val="both"/>
      <w:spacing w:before="120" w:after="120"/>
      <w:outlineLvl w:val="3"/>
    </w:pPr>
    <w:rPr>
      <w:rFonts w:ascii="XO Thames" w:hAnsi="XO Thames"/>
      <w:b/>
      <w:sz w:val="24"/>
    </w:rPr>
  </w:style>
  <w:style w:type="character" w:styleId="1224">
    <w:name w:val="Heading 4"/>
    <w:link w:val="1223"/>
    <w:rPr>
      <w:rFonts w:ascii="XO Thames" w:hAnsi="XO Thames"/>
      <w:b/>
      <w:sz w:val="24"/>
    </w:rPr>
  </w:style>
  <w:style w:type="paragraph" w:styleId="1225">
    <w:name w:val="Heading 2"/>
    <w:next w:val="1085"/>
    <w:link w:val="1226"/>
    <w:uiPriority w:val="9"/>
    <w:qFormat/>
    <w:pPr>
      <w:jc w:val="both"/>
      <w:spacing w:before="120" w:after="120"/>
      <w:outlineLvl w:val="1"/>
    </w:pPr>
    <w:rPr>
      <w:rFonts w:ascii="XO Thames" w:hAnsi="XO Thames"/>
      <w:b/>
      <w:sz w:val="28"/>
    </w:rPr>
  </w:style>
  <w:style w:type="character" w:styleId="1226">
    <w:name w:val="Heading 2"/>
    <w:link w:val="1225"/>
    <w:rPr>
      <w:rFonts w:ascii="XO Thames" w:hAnsi="XO Thames"/>
      <w:b/>
      <w:sz w:val="28"/>
    </w:rPr>
  </w:style>
  <w:style w:type="paragraph" w:styleId="1227">
    <w:name w:val="Body Text Indent 2"/>
    <w:basedOn w:val="1085"/>
    <w:link w:val="1228"/>
    <w:pPr>
      <w:ind w:left="283" w:firstLine="0"/>
      <w:spacing w:after="120" w:line="480" w:lineRule="auto"/>
    </w:pPr>
  </w:style>
  <w:style w:type="character" w:styleId="1228">
    <w:name w:val="Body Text Indent 2"/>
    <w:basedOn w:val="1086"/>
    <w:link w:val="1227"/>
  </w:style>
  <w:style w:type="table" w:styleId="1229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1230">
    <w:name w:val="Table Grid"/>
    <w:basedOn w:val="122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numbering" w:styleId="1231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y.eliseeva</cp:lastModifiedBy>
  <cp:revision>20</cp:revision>
  <dcterms:modified xsi:type="dcterms:W3CDTF">2026-07-30T15:52:40Z</dcterms:modified>
</cp:coreProperties>
</file>